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53FA" w14:textId="11528390" w:rsidR="00713ABD" w:rsidRPr="0099427E" w:rsidRDefault="0060216A" w:rsidP="0060216A">
      <w:pPr>
        <w:pBdr>
          <w:bottom w:val="single" w:sz="12" w:space="1" w:color="auto"/>
        </w:pBdr>
        <w:jc w:val="center"/>
        <w:rPr>
          <w:b/>
          <w:sz w:val="22"/>
          <w:szCs w:val="22"/>
        </w:rPr>
      </w:pPr>
      <w:r>
        <w:rPr>
          <w:b/>
          <w:noProof/>
          <w:sz w:val="22"/>
          <w:szCs w:val="22"/>
        </w:rPr>
        <w:drawing>
          <wp:inline distT="0" distB="0" distL="0" distR="0" wp14:anchorId="258DF605" wp14:editId="5DC779B9">
            <wp:extent cx="5266847" cy="668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horiz_4c.jpg"/>
                    <pic:cNvPicPr/>
                  </pic:nvPicPr>
                  <pic:blipFill>
                    <a:blip r:embed="rId9">
                      <a:extLst>
                        <a:ext uri="{28A0092B-C50C-407E-A947-70E740481C1C}">
                          <a14:useLocalDpi xmlns:a14="http://schemas.microsoft.com/office/drawing/2010/main" val="0"/>
                        </a:ext>
                      </a:extLst>
                    </a:blip>
                    <a:stretch>
                      <a:fillRect/>
                    </a:stretch>
                  </pic:blipFill>
                  <pic:spPr>
                    <a:xfrm>
                      <a:off x="0" y="0"/>
                      <a:ext cx="5276467" cy="669940"/>
                    </a:xfrm>
                    <a:prstGeom prst="rect">
                      <a:avLst/>
                    </a:prstGeom>
                  </pic:spPr>
                </pic:pic>
              </a:graphicData>
            </a:graphic>
          </wp:inline>
        </w:drawing>
      </w:r>
    </w:p>
    <w:p w14:paraId="3A930FB1" w14:textId="77777777" w:rsidR="00713ABD" w:rsidRPr="0099427E" w:rsidRDefault="00713ABD">
      <w:pPr>
        <w:rPr>
          <w:b/>
          <w:sz w:val="22"/>
          <w:szCs w:val="22"/>
        </w:rPr>
      </w:pPr>
    </w:p>
    <w:p w14:paraId="7F02D449" w14:textId="7DC99CD8" w:rsidR="00713ABD" w:rsidRPr="0099427E" w:rsidRDefault="00713ABD">
      <w:pPr>
        <w:rPr>
          <w:b/>
          <w:sz w:val="22"/>
          <w:szCs w:val="22"/>
          <w:u w:val="single"/>
        </w:rPr>
      </w:pPr>
      <w:r w:rsidRPr="0099427E">
        <w:rPr>
          <w:b/>
          <w:sz w:val="22"/>
          <w:szCs w:val="22"/>
          <w:u w:val="single"/>
        </w:rPr>
        <w:t>Turning Points Lesson Plan</w:t>
      </w:r>
    </w:p>
    <w:p w14:paraId="2A96FF37" w14:textId="77777777" w:rsidR="00713ABD" w:rsidRPr="0099427E" w:rsidRDefault="00713ABD">
      <w:pPr>
        <w:rPr>
          <w:b/>
          <w:sz w:val="22"/>
          <w:szCs w:val="22"/>
        </w:rPr>
      </w:pPr>
    </w:p>
    <w:p w14:paraId="27B0936E" w14:textId="77777777" w:rsidR="00801390" w:rsidRPr="0099427E" w:rsidRDefault="00801390">
      <w:pPr>
        <w:rPr>
          <w:sz w:val="22"/>
          <w:szCs w:val="22"/>
        </w:rPr>
      </w:pPr>
      <w:r w:rsidRPr="0099427E">
        <w:rPr>
          <w:b/>
          <w:sz w:val="22"/>
          <w:szCs w:val="22"/>
        </w:rPr>
        <w:t>Lesson Title:</w:t>
      </w:r>
      <w:r w:rsidRPr="0099427E">
        <w:rPr>
          <w:sz w:val="22"/>
          <w:szCs w:val="22"/>
        </w:rPr>
        <w:t xml:space="preserve"> </w:t>
      </w:r>
    </w:p>
    <w:p w14:paraId="3B58EFA4" w14:textId="77777777" w:rsidR="00801390" w:rsidRPr="0099427E" w:rsidRDefault="00801390">
      <w:pPr>
        <w:rPr>
          <w:sz w:val="22"/>
          <w:szCs w:val="22"/>
        </w:rPr>
      </w:pPr>
    </w:p>
    <w:p w14:paraId="7F5A848B" w14:textId="27E18C06" w:rsidR="0046518D" w:rsidRPr="0099427E" w:rsidRDefault="00C35D62">
      <w:pPr>
        <w:rPr>
          <w:sz w:val="22"/>
          <w:szCs w:val="22"/>
        </w:rPr>
      </w:pPr>
      <w:r w:rsidRPr="0099427E">
        <w:rPr>
          <w:sz w:val="22"/>
          <w:szCs w:val="22"/>
        </w:rPr>
        <w:t xml:space="preserve">Turning Lemons into Lemonade: </w:t>
      </w:r>
      <w:r w:rsidR="00A91396" w:rsidRPr="0099427E">
        <w:rPr>
          <w:sz w:val="22"/>
          <w:szCs w:val="22"/>
        </w:rPr>
        <w:t xml:space="preserve">Better </w:t>
      </w:r>
      <w:r w:rsidRPr="0099427E">
        <w:rPr>
          <w:sz w:val="22"/>
          <w:szCs w:val="22"/>
        </w:rPr>
        <w:t xml:space="preserve">Understanding </w:t>
      </w:r>
      <w:r w:rsidR="00713B0C" w:rsidRPr="0099427E">
        <w:rPr>
          <w:sz w:val="22"/>
          <w:szCs w:val="22"/>
        </w:rPr>
        <w:t>Freedom of Religion</w:t>
      </w:r>
      <w:r w:rsidR="00A91396" w:rsidRPr="0099427E">
        <w:rPr>
          <w:sz w:val="22"/>
          <w:szCs w:val="22"/>
        </w:rPr>
        <w:t xml:space="preserve"> Issues</w:t>
      </w:r>
      <w:r w:rsidR="00713B0C" w:rsidRPr="0099427E">
        <w:rPr>
          <w:sz w:val="22"/>
          <w:szCs w:val="22"/>
        </w:rPr>
        <w:t xml:space="preserve"> </w:t>
      </w:r>
      <w:r w:rsidRPr="0099427E">
        <w:rPr>
          <w:sz w:val="22"/>
          <w:szCs w:val="22"/>
        </w:rPr>
        <w:t xml:space="preserve">through the Lemon Test </w:t>
      </w:r>
    </w:p>
    <w:p w14:paraId="466BCD42" w14:textId="77777777" w:rsidR="00A74966" w:rsidRPr="0099427E" w:rsidRDefault="00A74966">
      <w:pPr>
        <w:rPr>
          <w:sz w:val="22"/>
          <w:szCs w:val="22"/>
        </w:rPr>
      </w:pPr>
    </w:p>
    <w:p w14:paraId="5DEE4AAF" w14:textId="653C046D" w:rsidR="00801390" w:rsidRPr="0099427E" w:rsidRDefault="00801390" w:rsidP="00801390">
      <w:pPr>
        <w:rPr>
          <w:sz w:val="22"/>
          <w:szCs w:val="22"/>
        </w:rPr>
      </w:pPr>
      <w:r w:rsidRPr="0099427E">
        <w:rPr>
          <w:b/>
          <w:sz w:val="22"/>
          <w:szCs w:val="22"/>
        </w:rPr>
        <w:t>Essential Question</w:t>
      </w:r>
      <w:r w:rsidR="00A91396" w:rsidRPr="0099427E">
        <w:rPr>
          <w:b/>
          <w:sz w:val="22"/>
          <w:szCs w:val="22"/>
        </w:rPr>
        <w:t>(s)</w:t>
      </w:r>
      <w:r w:rsidRPr="0099427E">
        <w:rPr>
          <w:b/>
          <w:sz w:val="22"/>
          <w:szCs w:val="22"/>
        </w:rPr>
        <w:t>:</w:t>
      </w:r>
      <w:r w:rsidRPr="0099427E">
        <w:rPr>
          <w:sz w:val="22"/>
          <w:szCs w:val="22"/>
        </w:rPr>
        <w:t xml:space="preserve"> </w:t>
      </w:r>
    </w:p>
    <w:p w14:paraId="19B3FFD5" w14:textId="77777777" w:rsidR="00801390" w:rsidRPr="0099427E" w:rsidRDefault="00801390" w:rsidP="00801390">
      <w:pPr>
        <w:rPr>
          <w:sz w:val="22"/>
          <w:szCs w:val="22"/>
        </w:rPr>
      </w:pPr>
    </w:p>
    <w:p w14:paraId="296A4334" w14:textId="348DF5C7" w:rsidR="00801390" w:rsidRPr="0099427E" w:rsidRDefault="00A91396" w:rsidP="00801390">
      <w:pPr>
        <w:rPr>
          <w:sz w:val="22"/>
          <w:szCs w:val="22"/>
        </w:rPr>
      </w:pPr>
      <w:r w:rsidRPr="0099427E">
        <w:rPr>
          <w:sz w:val="22"/>
          <w:szCs w:val="22"/>
        </w:rPr>
        <w:t>Is the Lemon Test a strong method for deciding court cases related to freedom of religion?</w:t>
      </w:r>
    </w:p>
    <w:p w14:paraId="24A11B71" w14:textId="77777777" w:rsidR="00A91396" w:rsidRPr="0099427E" w:rsidRDefault="00A91396" w:rsidP="00801390">
      <w:pPr>
        <w:rPr>
          <w:sz w:val="22"/>
          <w:szCs w:val="22"/>
        </w:rPr>
      </w:pPr>
    </w:p>
    <w:p w14:paraId="33DF73E5" w14:textId="7BCE045C" w:rsidR="00A91396" w:rsidRPr="0099427E" w:rsidRDefault="00A91396" w:rsidP="00801390">
      <w:pPr>
        <w:rPr>
          <w:sz w:val="22"/>
          <w:szCs w:val="22"/>
        </w:rPr>
      </w:pPr>
      <w:r w:rsidRPr="0099427E">
        <w:rPr>
          <w:sz w:val="22"/>
          <w:szCs w:val="22"/>
        </w:rPr>
        <w:t xml:space="preserve">Should the common good of the nation trump individual rights related to religion? </w:t>
      </w:r>
    </w:p>
    <w:p w14:paraId="6CA0FDE6" w14:textId="77777777" w:rsidR="00801390" w:rsidRPr="0099427E" w:rsidRDefault="00801390" w:rsidP="00801390">
      <w:pPr>
        <w:rPr>
          <w:sz w:val="22"/>
          <w:szCs w:val="22"/>
        </w:rPr>
      </w:pPr>
    </w:p>
    <w:p w14:paraId="773962DA" w14:textId="77777777" w:rsidR="00801390" w:rsidRPr="0099427E" w:rsidRDefault="00801390" w:rsidP="00801390">
      <w:pPr>
        <w:rPr>
          <w:b/>
          <w:sz w:val="22"/>
          <w:szCs w:val="22"/>
        </w:rPr>
      </w:pPr>
      <w:r w:rsidRPr="0099427E">
        <w:rPr>
          <w:b/>
          <w:sz w:val="22"/>
          <w:szCs w:val="22"/>
        </w:rPr>
        <w:t xml:space="preserve">Learning Objective(s): </w:t>
      </w:r>
    </w:p>
    <w:p w14:paraId="6F92409A" w14:textId="77777777" w:rsidR="00801390" w:rsidRPr="0099427E" w:rsidRDefault="00801390" w:rsidP="00801390">
      <w:pPr>
        <w:rPr>
          <w:sz w:val="22"/>
          <w:szCs w:val="22"/>
        </w:rPr>
      </w:pPr>
    </w:p>
    <w:p w14:paraId="58C53414" w14:textId="743F6822" w:rsidR="00801390" w:rsidRPr="0099427E" w:rsidRDefault="00801390" w:rsidP="00801390">
      <w:pPr>
        <w:pStyle w:val="ListParagraph"/>
        <w:numPr>
          <w:ilvl w:val="0"/>
          <w:numId w:val="4"/>
        </w:numPr>
        <w:rPr>
          <w:sz w:val="22"/>
          <w:szCs w:val="22"/>
        </w:rPr>
      </w:pPr>
      <w:r w:rsidRPr="0099427E">
        <w:rPr>
          <w:sz w:val="22"/>
          <w:szCs w:val="22"/>
        </w:rPr>
        <w:t>Students will be able to</w:t>
      </w:r>
      <w:r w:rsidR="00E862AF" w:rsidRPr="0099427E">
        <w:rPr>
          <w:sz w:val="22"/>
          <w:szCs w:val="22"/>
        </w:rPr>
        <w:t xml:space="preserve"> understand and </w:t>
      </w:r>
      <w:r w:rsidRPr="0099427E">
        <w:rPr>
          <w:sz w:val="22"/>
          <w:szCs w:val="22"/>
        </w:rPr>
        <w:t>explain the protections guaranteed by</w:t>
      </w:r>
      <w:r w:rsidR="0046518D" w:rsidRPr="0099427E">
        <w:rPr>
          <w:sz w:val="22"/>
          <w:szCs w:val="22"/>
        </w:rPr>
        <w:t xml:space="preserve"> the Establishment Clause and Free Exercise Clause in </w:t>
      </w:r>
      <w:r w:rsidRPr="0099427E">
        <w:rPr>
          <w:sz w:val="22"/>
          <w:szCs w:val="22"/>
        </w:rPr>
        <w:t>the First Amendment</w:t>
      </w:r>
    </w:p>
    <w:p w14:paraId="584DB71D" w14:textId="77777777" w:rsidR="0099427E" w:rsidRPr="0099427E" w:rsidRDefault="00801390" w:rsidP="00713B0C">
      <w:pPr>
        <w:pStyle w:val="ListParagraph"/>
        <w:numPr>
          <w:ilvl w:val="0"/>
          <w:numId w:val="4"/>
        </w:numPr>
        <w:rPr>
          <w:sz w:val="22"/>
          <w:szCs w:val="22"/>
        </w:rPr>
      </w:pPr>
      <w:r w:rsidRPr="0099427E">
        <w:rPr>
          <w:sz w:val="22"/>
          <w:szCs w:val="22"/>
        </w:rPr>
        <w:t xml:space="preserve">Students will be able to </w:t>
      </w:r>
      <w:r w:rsidR="003E2AAF" w:rsidRPr="0099427E">
        <w:rPr>
          <w:sz w:val="22"/>
          <w:szCs w:val="22"/>
        </w:rPr>
        <w:t xml:space="preserve">apply the Lemon </w:t>
      </w:r>
      <w:r w:rsidR="00E862AF" w:rsidRPr="0099427E">
        <w:rPr>
          <w:sz w:val="22"/>
          <w:szCs w:val="22"/>
        </w:rPr>
        <w:t>Test to various court case scenarios</w:t>
      </w:r>
      <w:r w:rsidR="003E2AAF" w:rsidRPr="0099427E">
        <w:rPr>
          <w:sz w:val="22"/>
          <w:szCs w:val="22"/>
        </w:rPr>
        <w:t xml:space="preserve"> </w:t>
      </w:r>
      <w:r w:rsidR="00713B0C" w:rsidRPr="0099427E">
        <w:rPr>
          <w:sz w:val="22"/>
          <w:szCs w:val="22"/>
        </w:rPr>
        <w:t xml:space="preserve">and </w:t>
      </w:r>
      <w:r w:rsidR="00A91396" w:rsidRPr="0099427E">
        <w:rPr>
          <w:sz w:val="22"/>
          <w:szCs w:val="22"/>
        </w:rPr>
        <w:t xml:space="preserve">construct </w:t>
      </w:r>
      <w:r w:rsidR="00E862AF" w:rsidRPr="0099427E">
        <w:rPr>
          <w:sz w:val="22"/>
          <w:szCs w:val="22"/>
        </w:rPr>
        <w:t>well-reasoned argument</w:t>
      </w:r>
      <w:r w:rsidR="00A91396" w:rsidRPr="0099427E">
        <w:rPr>
          <w:sz w:val="22"/>
          <w:szCs w:val="22"/>
        </w:rPr>
        <w:t xml:space="preserve">s </w:t>
      </w:r>
    </w:p>
    <w:p w14:paraId="100604FB" w14:textId="77777777" w:rsidR="0099427E" w:rsidRPr="0099427E" w:rsidRDefault="0099427E" w:rsidP="0099427E">
      <w:pPr>
        <w:rPr>
          <w:sz w:val="22"/>
          <w:szCs w:val="22"/>
        </w:rPr>
      </w:pPr>
    </w:p>
    <w:p w14:paraId="542C3100" w14:textId="35C98BD4" w:rsidR="0099427E" w:rsidRPr="0099427E" w:rsidRDefault="0099427E" w:rsidP="0099427E">
      <w:pPr>
        <w:rPr>
          <w:b/>
          <w:sz w:val="22"/>
          <w:szCs w:val="22"/>
        </w:rPr>
      </w:pPr>
      <w:r w:rsidRPr="0099427E">
        <w:rPr>
          <w:b/>
          <w:sz w:val="22"/>
          <w:szCs w:val="22"/>
        </w:rPr>
        <w:t>TEKS:</w:t>
      </w:r>
    </w:p>
    <w:p w14:paraId="3E60B081" w14:textId="77777777" w:rsidR="0099427E" w:rsidRPr="0099427E" w:rsidRDefault="0099427E" w:rsidP="0099427E">
      <w:pPr>
        <w:rPr>
          <w:sz w:val="22"/>
          <w:szCs w:val="22"/>
        </w:rPr>
      </w:pPr>
    </w:p>
    <w:p w14:paraId="7B3764BF" w14:textId="77777777" w:rsidR="0099427E" w:rsidRPr="0099427E" w:rsidRDefault="0099427E" w:rsidP="0099427E">
      <w:pPr>
        <w:rPr>
          <w:sz w:val="22"/>
          <w:szCs w:val="22"/>
        </w:rPr>
      </w:pPr>
      <w:r w:rsidRPr="0099427E">
        <w:rPr>
          <w:sz w:val="22"/>
          <w:szCs w:val="22"/>
        </w:rPr>
        <w:t>13. Citizenship. The student understands rights guaranteed by the U.S. Constitution.</w:t>
      </w:r>
    </w:p>
    <w:p w14:paraId="60878360" w14:textId="1720DA6A" w:rsidR="00801390" w:rsidRPr="0099427E" w:rsidRDefault="0099427E" w:rsidP="0099427E">
      <w:pPr>
        <w:ind w:left="720"/>
        <w:rPr>
          <w:sz w:val="22"/>
          <w:szCs w:val="22"/>
        </w:rPr>
      </w:pPr>
      <w:r w:rsidRPr="0099427E">
        <w:rPr>
          <w:sz w:val="22"/>
          <w:szCs w:val="22"/>
        </w:rPr>
        <w:t>C. Identify the freedoms and rights guaranteed by each amendment in the Bill of Rights</w:t>
      </w:r>
    </w:p>
    <w:p w14:paraId="49C7E373" w14:textId="77777777" w:rsidR="00801390" w:rsidRPr="0099427E" w:rsidRDefault="00801390" w:rsidP="00801390">
      <w:pPr>
        <w:rPr>
          <w:sz w:val="22"/>
          <w:szCs w:val="22"/>
        </w:rPr>
      </w:pPr>
    </w:p>
    <w:p w14:paraId="146D89FF" w14:textId="77777777" w:rsidR="00801390" w:rsidRPr="0099427E" w:rsidRDefault="00801390" w:rsidP="00801390">
      <w:pPr>
        <w:rPr>
          <w:b/>
          <w:sz w:val="22"/>
          <w:szCs w:val="22"/>
        </w:rPr>
      </w:pPr>
      <w:r w:rsidRPr="0099427E">
        <w:rPr>
          <w:b/>
          <w:sz w:val="22"/>
          <w:szCs w:val="22"/>
        </w:rPr>
        <w:t>Materials:</w:t>
      </w:r>
    </w:p>
    <w:p w14:paraId="4953BF99" w14:textId="77777777" w:rsidR="00801390" w:rsidRPr="0099427E" w:rsidRDefault="00801390" w:rsidP="00801390">
      <w:pPr>
        <w:rPr>
          <w:sz w:val="22"/>
          <w:szCs w:val="22"/>
        </w:rPr>
      </w:pPr>
    </w:p>
    <w:p w14:paraId="6F226A7B" w14:textId="77777777" w:rsidR="00B67189" w:rsidRPr="0099427E" w:rsidRDefault="00801390" w:rsidP="00A91396">
      <w:pPr>
        <w:pStyle w:val="ListParagraph"/>
        <w:numPr>
          <w:ilvl w:val="0"/>
          <w:numId w:val="2"/>
        </w:numPr>
        <w:rPr>
          <w:sz w:val="22"/>
          <w:szCs w:val="22"/>
        </w:rPr>
      </w:pPr>
      <w:r w:rsidRPr="0099427E">
        <w:rPr>
          <w:sz w:val="22"/>
          <w:szCs w:val="22"/>
        </w:rPr>
        <w:t>DVD Player (if you have the DVD)</w:t>
      </w:r>
      <w:r w:rsidR="00A91396" w:rsidRPr="0099427E">
        <w:rPr>
          <w:sz w:val="22"/>
          <w:szCs w:val="22"/>
        </w:rPr>
        <w:t>.</w:t>
      </w:r>
      <w:r w:rsidRPr="0099427E">
        <w:rPr>
          <w:sz w:val="22"/>
          <w:szCs w:val="22"/>
        </w:rPr>
        <w:t xml:space="preserve"> </w:t>
      </w:r>
    </w:p>
    <w:p w14:paraId="2CEA20C2" w14:textId="771FE3EA" w:rsidR="00801390" w:rsidRPr="0099427E" w:rsidRDefault="00B67189" w:rsidP="00A91396">
      <w:pPr>
        <w:pStyle w:val="ListParagraph"/>
        <w:numPr>
          <w:ilvl w:val="0"/>
          <w:numId w:val="2"/>
        </w:numPr>
        <w:rPr>
          <w:sz w:val="22"/>
          <w:szCs w:val="22"/>
        </w:rPr>
      </w:pPr>
      <w:r w:rsidRPr="0099427E">
        <w:rPr>
          <w:sz w:val="22"/>
          <w:szCs w:val="22"/>
        </w:rPr>
        <w:t>You</w:t>
      </w:r>
      <w:r w:rsidR="00801390" w:rsidRPr="0099427E">
        <w:rPr>
          <w:sz w:val="22"/>
          <w:szCs w:val="22"/>
        </w:rPr>
        <w:t xml:space="preserve"> can </w:t>
      </w:r>
      <w:r w:rsidRPr="0099427E">
        <w:rPr>
          <w:sz w:val="22"/>
          <w:szCs w:val="22"/>
        </w:rPr>
        <w:t xml:space="preserve">also </w:t>
      </w:r>
      <w:r w:rsidR="00801390" w:rsidRPr="0099427E">
        <w:rPr>
          <w:sz w:val="22"/>
          <w:szCs w:val="22"/>
        </w:rPr>
        <w:t>watch he film online</w:t>
      </w:r>
      <w:r w:rsidR="00A91396" w:rsidRPr="0099427E">
        <w:rPr>
          <w:sz w:val="22"/>
          <w:szCs w:val="22"/>
        </w:rPr>
        <w:t xml:space="preserve"> at</w:t>
      </w:r>
      <w:r w:rsidRPr="0099427E">
        <w:rPr>
          <w:sz w:val="22"/>
          <w:szCs w:val="22"/>
        </w:rPr>
        <w:t xml:space="preserve">: </w:t>
      </w:r>
      <w:hyperlink r:id="rId10" w:history="1">
        <w:r w:rsidR="00A91396" w:rsidRPr="0099427E">
          <w:rPr>
            <w:rStyle w:val="Hyperlink"/>
            <w:sz w:val="22"/>
            <w:szCs w:val="22"/>
          </w:rPr>
          <w:t>http://communication.utexas.edu/strauss/turning-points</w:t>
        </w:r>
      </w:hyperlink>
      <w:r w:rsidR="00A91396" w:rsidRPr="0099427E">
        <w:rPr>
          <w:sz w:val="22"/>
          <w:szCs w:val="22"/>
        </w:rPr>
        <w:t xml:space="preserve"> </w:t>
      </w:r>
      <w:r w:rsidR="00801390" w:rsidRPr="0099427E">
        <w:rPr>
          <w:sz w:val="22"/>
          <w:szCs w:val="22"/>
        </w:rPr>
        <w:t xml:space="preserve"> </w:t>
      </w:r>
    </w:p>
    <w:p w14:paraId="2CF77397" w14:textId="77777777" w:rsidR="00801390" w:rsidRPr="0099427E" w:rsidRDefault="00801390" w:rsidP="00801390">
      <w:pPr>
        <w:pStyle w:val="ListParagraph"/>
        <w:numPr>
          <w:ilvl w:val="0"/>
          <w:numId w:val="2"/>
        </w:numPr>
        <w:rPr>
          <w:sz w:val="22"/>
          <w:szCs w:val="22"/>
        </w:rPr>
      </w:pPr>
      <w:r w:rsidRPr="0099427E">
        <w:rPr>
          <w:sz w:val="22"/>
          <w:szCs w:val="22"/>
        </w:rPr>
        <w:t>Updated Media Player (recommended)</w:t>
      </w:r>
    </w:p>
    <w:p w14:paraId="48520B79" w14:textId="1E98AA51" w:rsidR="008E39B0" w:rsidRPr="0099427E" w:rsidRDefault="00402315" w:rsidP="00801390">
      <w:pPr>
        <w:pStyle w:val="ListParagraph"/>
        <w:numPr>
          <w:ilvl w:val="0"/>
          <w:numId w:val="2"/>
        </w:numPr>
        <w:rPr>
          <w:sz w:val="22"/>
          <w:szCs w:val="22"/>
        </w:rPr>
      </w:pPr>
      <w:r w:rsidRPr="0099427E">
        <w:rPr>
          <w:i/>
          <w:sz w:val="22"/>
          <w:szCs w:val="22"/>
        </w:rPr>
        <w:t>Turning Points</w:t>
      </w:r>
      <w:r w:rsidRPr="0099427E">
        <w:rPr>
          <w:sz w:val="22"/>
          <w:szCs w:val="22"/>
        </w:rPr>
        <w:t xml:space="preserve"> </w:t>
      </w:r>
      <w:r w:rsidR="00C7386E" w:rsidRPr="0099427E">
        <w:rPr>
          <w:sz w:val="22"/>
          <w:szCs w:val="22"/>
        </w:rPr>
        <w:t xml:space="preserve">Handouts </w:t>
      </w:r>
    </w:p>
    <w:p w14:paraId="0574058E" w14:textId="77777777" w:rsidR="00801390" w:rsidRPr="0099427E" w:rsidRDefault="00801390" w:rsidP="00801390">
      <w:pPr>
        <w:pStyle w:val="ListParagraph"/>
        <w:numPr>
          <w:ilvl w:val="0"/>
          <w:numId w:val="2"/>
        </w:numPr>
        <w:rPr>
          <w:sz w:val="22"/>
          <w:szCs w:val="22"/>
        </w:rPr>
      </w:pPr>
      <w:r w:rsidRPr="0099427E">
        <w:rPr>
          <w:sz w:val="22"/>
          <w:szCs w:val="22"/>
        </w:rPr>
        <w:t xml:space="preserve">Pen/pencil </w:t>
      </w:r>
    </w:p>
    <w:p w14:paraId="0156F75F" w14:textId="005CA05A" w:rsidR="00AA10AA" w:rsidRPr="0099427E" w:rsidRDefault="00AA10AA" w:rsidP="00801390">
      <w:pPr>
        <w:pStyle w:val="ListParagraph"/>
        <w:numPr>
          <w:ilvl w:val="0"/>
          <w:numId w:val="2"/>
        </w:numPr>
        <w:rPr>
          <w:sz w:val="22"/>
          <w:szCs w:val="22"/>
        </w:rPr>
      </w:pPr>
      <w:r w:rsidRPr="0099427E">
        <w:rPr>
          <w:sz w:val="22"/>
          <w:szCs w:val="22"/>
        </w:rPr>
        <w:t xml:space="preserve">Lemon Drops (optional) </w:t>
      </w:r>
    </w:p>
    <w:p w14:paraId="4F05DE45" w14:textId="77777777" w:rsidR="00801390" w:rsidRPr="0099427E" w:rsidRDefault="00801390" w:rsidP="00801390">
      <w:pPr>
        <w:rPr>
          <w:sz w:val="22"/>
          <w:szCs w:val="22"/>
        </w:rPr>
      </w:pPr>
    </w:p>
    <w:p w14:paraId="2F2CD40F" w14:textId="4ABF34B1" w:rsidR="00801390" w:rsidRPr="0099427E" w:rsidRDefault="002F0FD5" w:rsidP="00801390">
      <w:pPr>
        <w:rPr>
          <w:b/>
          <w:sz w:val="22"/>
          <w:szCs w:val="22"/>
        </w:rPr>
      </w:pPr>
      <w:r w:rsidRPr="0099427E">
        <w:rPr>
          <w:b/>
          <w:sz w:val="22"/>
          <w:szCs w:val="22"/>
        </w:rPr>
        <w:t xml:space="preserve">Warm-up: </w:t>
      </w:r>
    </w:p>
    <w:p w14:paraId="65D018DE" w14:textId="77777777" w:rsidR="00801390" w:rsidRPr="0099427E" w:rsidRDefault="00801390" w:rsidP="00801390">
      <w:pPr>
        <w:rPr>
          <w:sz w:val="22"/>
          <w:szCs w:val="22"/>
        </w:rPr>
      </w:pPr>
    </w:p>
    <w:p w14:paraId="2AFB4910" w14:textId="77777777" w:rsidR="00A91396" w:rsidRPr="0099427E" w:rsidRDefault="00B55193" w:rsidP="0091159F">
      <w:pPr>
        <w:pStyle w:val="ListParagraph"/>
        <w:numPr>
          <w:ilvl w:val="0"/>
          <w:numId w:val="14"/>
        </w:numPr>
        <w:rPr>
          <w:sz w:val="22"/>
          <w:szCs w:val="22"/>
        </w:rPr>
      </w:pPr>
      <w:r w:rsidRPr="0099427E">
        <w:rPr>
          <w:sz w:val="22"/>
          <w:szCs w:val="22"/>
        </w:rPr>
        <w:t>Pose the following question for students to answer at the beginning of class:</w:t>
      </w:r>
      <w:r w:rsidR="0091159F" w:rsidRPr="0099427E">
        <w:rPr>
          <w:sz w:val="22"/>
          <w:szCs w:val="22"/>
        </w:rPr>
        <w:t xml:space="preserve">  </w:t>
      </w:r>
    </w:p>
    <w:p w14:paraId="6E4C4B90" w14:textId="77777777" w:rsidR="00A91396" w:rsidRPr="0099427E" w:rsidRDefault="00A91396" w:rsidP="00A91396">
      <w:pPr>
        <w:pStyle w:val="ListParagraph"/>
        <w:rPr>
          <w:sz w:val="22"/>
          <w:szCs w:val="22"/>
        </w:rPr>
      </w:pPr>
    </w:p>
    <w:p w14:paraId="5852660A" w14:textId="052EC51B" w:rsidR="00B55193" w:rsidRPr="0099427E" w:rsidRDefault="0091159F" w:rsidP="00A91396">
      <w:pPr>
        <w:pStyle w:val="ListParagraph"/>
        <w:rPr>
          <w:sz w:val="22"/>
          <w:szCs w:val="22"/>
        </w:rPr>
      </w:pPr>
      <w:r w:rsidRPr="0099427E">
        <w:rPr>
          <w:sz w:val="22"/>
          <w:szCs w:val="22"/>
        </w:rPr>
        <w:t>W</w:t>
      </w:r>
      <w:r w:rsidR="00B55193" w:rsidRPr="0099427E">
        <w:rPr>
          <w:sz w:val="22"/>
          <w:szCs w:val="22"/>
        </w:rPr>
        <w:t xml:space="preserve">hat is freedom of religion? </w:t>
      </w:r>
    </w:p>
    <w:p w14:paraId="4387223B" w14:textId="77777777" w:rsidR="00175852" w:rsidRPr="0099427E" w:rsidRDefault="00175852" w:rsidP="00175852">
      <w:pPr>
        <w:rPr>
          <w:sz w:val="22"/>
          <w:szCs w:val="22"/>
        </w:rPr>
      </w:pPr>
    </w:p>
    <w:p w14:paraId="32391B15" w14:textId="2E42E6FF" w:rsidR="00175852" w:rsidRPr="0099427E" w:rsidRDefault="0060216A" w:rsidP="00175852">
      <w:pPr>
        <w:rPr>
          <w:b/>
          <w:sz w:val="22"/>
          <w:szCs w:val="22"/>
        </w:rPr>
      </w:pPr>
      <w:r>
        <w:rPr>
          <w:b/>
          <w:sz w:val="22"/>
          <w:szCs w:val="22"/>
        </w:rPr>
        <w:lastRenderedPageBreak/>
        <w:br/>
      </w:r>
      <w:r>
        <w:rPr>
          <w:b/>
          <w:sz w:val="22"/>
          <w:szCs w:val="22"/>
        </w:rPr>
        <w:br/>
      </w:r>
      <w:r w:rsidR="00175852" w:rsidRPr="0099427E">
        <w:rPr>
          <w:b/>
          <w:sz w:val="22"/>
          <w:szCs w:val="22"/>
        </w:rPr>
        <w:t xml:space="preserve">Introduction to New Material: </w:t>
      </w:r>
    </w:p>
    <w:p w14:paraId="237AEC61" w14:textId="77777777" w:rsidR="00052564" w:rsidRPr="0099427E" w:rsidRDefault="00052564" w:rsidP="00175852">
      <w:pPr>
        <w:rPr>
          <w:b/>
          <w:sz w:val="22"/>
          <w:szCs w:val="22"/>
        </w:rPr>
      </w:pPr>
    </w:p>
    <w:p w14:paraId="4262510D" w14:textId="2B99837E" w:rsidR="0022030A" w:rsidRPr="0099427E" w:rsidRDefault="002F0FD5" w:rsidP="002F0FD5">
      <w:pPr>
        <w:pStyle w:val="ListParagraph"/>
        <w:numPr>
          <w:ilvl w:val="0"/>
          <w:numId w:val="11"/>
        </w:numPr>
        <w:rPr>
          <w:sz w:val="22"/>
          <w:szCs w:val="22"/>
        </w:rPr>
      </w:pPr>
      <w:r w:rsidRPr="0099427E">
        <w:rPr>
          <w:sz w:val="22"/>
          <w:szCs w:val="22"/>
        </w:rPr>
        <w:t xml:space="preserve">Overview </w:t>
      </w:r>
      <w:r w:rsidR="00CD5B24" w:rsidRPr="0099427E">
        <w:rPr>
          <w:sz w:val="22"/>
          <w:szCs w:val="22"/>
        </w:rPr>
        <w:t>the religion clauses</w:t>
      </w:r>
      <w:r w:rsidR="00FB1A6F" w:rsidRPr="0099427E">
        <w:rPr>
          <w:sz w:val="22"/>
          <w:szCs w:val="22"/>
        </w:rPr>
        <w:t xml:space="preserve"> in the First Amendment:</w:t>
      </w:r>
    </w:p>
    <w:p w14:paraId="2C0B9D01" w14:textId="2F418332" w:rsidR="00FB1A6F" w:rsidRPr="0099427E" w:rsidRDefault="00FB1A6F" w:rsidP="00FB1A6F">
      <w:pPr>
        <w:pStyle w:val="ListParagraph"/>
        <w:numPr>
          <w:ilvl w:val="1"/>
          <w:numId w:val="11"/>
        </w:numPr>
        <w:rPr>
          <w:sz w:val="22"/>
          <w:szCs w:val="22"/>
        </w:rPr>
      </w:pPr>
      <w:r w:rsidRPr="0099427E">
        <w:rPr>
          <w:sz w:val="22"/>
          <w:szCs w:val="22"/>
        </w:rPr>
        <w:t>Establishment Clause</w:t>
      </w:r>
    </w:p>
    <w:p w14:paraId="30DB183B" w14:textId="1947752D" w:rsidR="003E2AAF" w:rsidRPr="0099427E" w:rsidRDefault="003E2AAF" w:rsidP="003E2AAF">
      <w:pPr>
        <w:pStyle w:val="ListParagraph"/>
        <w:numPr>
          <w:ilvl w:val="2"/>
          <w:numId w:val="11"/>
        </w:numPr>
        <w:rPr>
          <w:sz w:val="22"/>
          <w:szCs w:val="22"/>
        </w:rPr>
      </w:pPr>
      <w:r w:rsidRPr="0099427E">
        <w:rPr>
          <w:sz w:val="22"/>
          <w:szCs w:val="22"/>
        </w:rPr>
        <w:t>“Congress shall make no law respecting an establishment of religion”</w:t>
      </w:r>
    </w:p>
    <w:p w14:paraId="2550FE89" w14:textId="56D8F989" w:rsidR="00FB1A6F" w:rsidRPr="0099427E" w:rsidRDefault="00343E75" w:rsidP="00FB1A6F">
      <w:pPr>
        <w:pStyle w:val="ListParagraph"/>
        <w:numPr>
          <w:ilvl w:val="1"/>
          <w:numId w:val="11"/>
        </w:numPr>
        <w:rPr>
          <w:sz w:val="22"/>
          <w:szCs w:val="22"/>
        </w:rPr>
      </w:pPr>
      <w:r w:rsidRPr="0099427E">
        <w:rPr>
          <w:sz w:val="22"/>
          <w:szCs w:val="22"/>
        </w:rPr>
        <w:t xml:space="preserve">Free Exercise Clause </w:t>
      </w:r>
    </w:p>
    <w:p w14:paraId="656706FA" w14:textId="0B0CABBB" w:rsidR="003E2AAF" w:rsidRPr="0099427E" w:rsidRDefault="003E2AAF" w:rsidP="003E2AAF">
      <w:pPr>
        <w:pStyle w:val="ListParagraph"/>
        <w:numPr>
          <w:ilvl w:val="2"/>
          <w:numId w:val="11"/>
        </w:numPr>
        <w:rPr>
          <w:sz w:val="22"/>
          <w:szCs w:val="22"/>
        </w:rPr>
      </w:pPr>
      <w:r w:rsidRPr="0099427E">
        <w:rPr>
          <w:sz w:val="22"/>
          <w:szCs w:val="22"/>
        </w:rPr>
        <w:t>"... or prohibiting the free exercise thereof"</w:t>
      </w:r>
    </w:p>
    <w:p w14:paraId="16A7E613" w14:textId="77777777" w:rsidR="002F0FD5" w:rsidRPr="0099427E" w:rsidRDefault="002F0FD5" w:rsidP="002F0FD5">
      <w:pPr>
        <w:pStyle w:val="ListParagraph"/>
        <w:rPr>
          <w:sz w:val="22"/>
          <w:szCs w:val="22"/>
        </w:rPr>
      </w:pPr>
    </w:p>
    <w:p w14:paraId="757AD56A" w14:textId="0F79681C" w:rsidR="002F0FD5" w:rsidRPr="0099427E" w:rsidRDefault="002F0FD5" w:rsidP="002F0FD5">
      <w:pPr>
        <w:pStyle w:val="ListParagraph"/>
        <w:numPr>
          <w:ilvl w:val="0"/>
          <w:numId w:val="11"/>
        </w:numPr>
        <w:rPr>
          <w:sz w:val="22"/>
          <w:szCs w:val="22"/>
        </w:rPr>
      </w:pPr>
      <w:r w:rsidRPr="0099427E">
        <w:rPr>
          <w:sz w:val="22"/>
          <w:szCs w:val="22"/>
        </w:rPr>
        <w:t>Overview the Lemon Test</w:t>
      </w:r>
      <w:r w:rsidR="0071195A" w:rsidRPr="0099427E">
        <w:rPr>
          <w:sz w:val="22"/>
          <w:szCs w:val="22"/>
        </w:rPr>
        <w:t>,</w:t>
      </w:r>
      <w:r w:rsidR="00715732" w:rsidRPr="0099427E">
        <w:rPr>
          <w:sz w:val="22"/>
          <w:szCs w:val="22"/>
        </w:rPr>
        <w:t xml:space="preserve"> established in Lemon v. </w:t>
      </w:r>
      <w:proofErr w:type="spellStart"/>
      <w:r w:rsidR="00715732" w:rsidRPr="0099427E">
        <w:rPr>
          <w:sz w:val="22"/>
          <w:szCs w:val="22"/>
        </w:rPr>
        <w:t>Kurtzman</w:t>
      </w:r>
      <w:proofErr w:type="spellEnd"/>
      <w:r w:rsidR="00715732" w:rsidRPr="0099427E">
        <w:rPr>
          <w:sz w:val="22"/>
          <w:szCs w:val="22"/>
        </w:rPr>
        <w:t xml:space="preserve"> (1971)</w:t>
      </w:r>
      <w:r w:rsidR="00041407" w:rsidRPr="0099427E">
        <w:rPr>
          <w:sz w:val="22"/>
          <w:szCs w:val="22"/>
        </w:rPr>
        <w:t>.  Note that it is</w:t>
      </w:r>
      <w:r w:rsidR="00715732" w:rsidRPr="0099427E">
        <w:rPr>
          <w:sz w:val="22"/>
          <w:szCs w:val="22"/>
        </w:rPr>
        <w:t xml:space="preserve"> </w:t>
      </w:r>
      <w:r w:rsidR="0071195A" w:rsidRPr="0099427E">
        <w:rPr>
          <w:sz w:val="22"/>
          <w:szCs w:val="22"/>
        </w:rPr>
        <w:t>commonly used in court decisions related to</w:t>
      </w:r>
      <w:r w:rsidR="00CD5B24" w:rsidRPr="0099427E">
        <w:rPr>
          <w:sz w:val="22"/>
          <w:szCs w:val="22"/>
        </w:rPr>
        <w:t xml:space="preserve"> </w:t>
      </w:r>
      <w:r w:rsidR="00041407" w:rsidRPr="0099427E">
        <w:rPr>
          <w:sz w:val="22"/>
          <w:szCs w:val="22"/>
        </w:rPr>
        <w:t>freedom of religion</w:t>
      </w:r>
      <w:r w:rsidRPr="0099427E">
        <w:rPr>
          <w:sz w:val="22"/>
          <w:szCs w:val="22"/>
        </w:rPr>
        <w:t xml:space="preserve">.  </w:t>
      </w:r>
      <w:r w:rsidR="00041407" w:rsidRPr="0099427E">
        <w:rPr>
          <w:sz w:val="22"/>
          <w:szCs w:val="22"/>
        </w:rPr>
        <w:t>According to the test, g</w:t>
      </w:r>
      <w:r w:rsidR="00FB1A6F" w:rsidRPr="0099427E">
        <w:rPr>
          <w:sz w:val="22"/>
          <w:szCs w:val="22"/>
        </w:rPr>
        <w:t xml:space="preserve">overnment practices must have: </w:t>
      </w:r>
    </w:p>
    <w:p w14:paraId="3FB85D91" w14:textId="77777777" w:rsidR="00FB1A6F" w:rsidRPr="0099427E" w:rsidRDefault="00FB1A6F" w:rsidP="00FB1A6F">
      <w:pPr>
        <w:pStyle w:val="ListParagraph"/>
        <w:rPr>
          <w:sz w:val="22"/>
          <w:szCs w:val="22"/>
        </w:rPr>
      </w:pPr>
    </w:p>
    <w:p w14:paraId="147AA27D" w14:textId="3F9BA974" w:rsidR="00FB1A6F" w:rsidRPr="0099427E" w:rsidRDefault="00041407" w:rsidP="00FB1A6F">
      <w:pPr>
        <w:pStyle w:val="ListParagraph"/>
        <w:numPr>
          <w:ilvl w:val="1"/>
          <w:numId w:val="11"/>
        </w:numPr>
        <w:rPr>
          <w:sz w:val="22"/>
          <w:szCs w:val="22"/>
        </w:rPr>
      </w:pPr>
      <w:r w:rsidRPr="0099427E">
        <w:rPr>
          <w:sz w:val="22"/>
          <w:szCs w:val="22"/>
        </w:rPr>
        <w:t xml:space="preserve">A </w:t>
      </w:r>
      <w:r w:rsidR="00FB1A6F" w:rsidRPr="0099427E">
        <w:rPr>
          <w:sz w:val="22"/>
          <w:szCs w:val="22"/>
        </w:rPr>
        <w:t>Secular (Non-religious) Purpose</w:t>
      </w:r>
    </w:p>
    <w:p w14:paraId="24A0909F" w14:textId="51C0A096" w:rsidR="00FB1A6F" w:rsidRPr="0099427E" w:rsidRDefault="00041407" w:rsidP="00FB1A6F">
      <w:pPr>
        <w:pStyle w:val="ListParagraph"/>
        <w:numPr>
          <w:ilvl w:val="1"/>
          <w:numId w:val="11"/>
        </w:numPr>
        <w:rPr>
          <w:sz w:val="22"/>
          <w:szCs w:val="22"/>
        </w:rPr>
      </w:pPr>
      <w:r w:rsidRPr="0099427E">
        <w:rPr>
          <w:sz w:val="22"/>
          <w:szCs w:val="22"/>
        </w:rPr>
        <w:t xml:space="preserve">A </w:t>
      </w:r>
      <w:r w:rsidR="00CD5B24" w:rsidRPr="0099427E">
        <w:rPr>
          <w:sz w:val="22"/>
          <w:szCs w:val="22"/>
        </w:rPr>
        <w:t xml:space="preserve">Secular (Non-religious) Effect </w:t>
      </w:r>
    </w:p>
    <w:p w14:paraId="13FE93BC" w14:textId="2BEF6F30" w:rsidR="00FB1A6F" w:rsidRPr="0099427E" w:rsidRDefault="00FB1A6F" w:rsidP="00FB1A6F">
      <w:pPr>
        <w:pStyle w:val="ListParagraph"/>
        <w:numPr>
          <w:ilvl w:val="1"/>
          <w:numId w:val="11"/>
        </w:numPr>
        <w:rPr>
          <w:sz w:val="22"/>
          <w:szCs w:val="22"/>
        </w:rPr>
      </w:pPr>
      <w:r w:rsidRPr="0099427E">
        <w:rPr>
          <w:sz w:val="22"/>
          <w:szCs w:val="22"/>
        </w:rPr>
        <w:t xml:space="preserve">No excessive entanglement with religion </w:t>
      </w:r>
    </w:p>
    <w:p w14:paraId="5F1B0DDB" w14:textId="77777777" w:rsidR="00FB1A6F" w:rsidRPr="0099427E" w:rsidRDefault="00FB1A6F" w:rsidP="00FB1A6F">
      <w:pPr>
        <w:rPr>
          <w:sz w:val="22"/>
          <w:szCs w:val="22"/>
        </w:rPr>
      </w:pPr>
    </w:p>
    <w:p w14:paraId="4C8CF05F" w14:textId="1144705C" w:rsidR="002060FE" w:rsidRPr="0099427E" w:rsidRDefault="00FB1A6F" w:rsidP="003E2AAF">
      <w:pPr>
        <w:ind w:left="720"/>
        <w:rPr>
          <w:sz w:val="22"/>
          <w:szCs w:val="22"/>
        </w:rPr>
      </w:pPr>
      <w:r w:rsidRPr="0099427E">
        <w:rPr>
          <w:sz w:val="22"/>
          <w:szCs w:val="22"/>
        </w:rPr>
        <w:t xml:space="preserve">Note that </w:t>
      </w:r>
      <w:r w:rsidR="00A91396" w:rsidRPr="0099427E">
        <w:rPr>
          <w:sz w:val="22"/>
          <w:szCs w:val="22"/>
        </w:rPr>
        <w:t xml:space="preserve">in order for a government practice to pass the Lemon Test, the answer must be ‘yes’ to each of the criteria.  Also note that </w:t>
      </w:r>
      <w:r w:rsidRPr="0099427E">
        <w:rPr>
          <w:sz w:val="22"/>
          <w:szCs w:val="22"/>
        </w:rPr>
        <w:t xml:space="preserve">although the Lemon Test is often used to decide matters related to the freedom of religion, it is not without </w:t>
      </w:r>
      <w:r w:rsidR="00A91396" w:rsidRPr="0099427E">
        <w:rPr>
          <w:sz w:val="22"/>
          <w:szCs w:val="22"/>
        </w:rPr>
        <w:t xml:space="preserve">flaws or </w:t>
      </w:r>
      <w:r w:rsidRPr="0099427E">
        <w:rPr>
          <w:sz w:val="22"/>
          <w:szCs w:val="22"/>
        </w:rPr>
        <w:t xml:space="preserve">controversy.  </w:t>
      </w:r>
    </w:p>
    <w:p w14:paraId="729FA1C4" w14:textId="77777777" w:rsidR="0071195A" w:rsidRPr="0099427E" w:rsidRDefault="0071195A" w:rsidP="003E2AAF">
      <w:pPr>
        <w:ind w:left="720"/>
        <w:rPr>
          <w:sz w:val="22"/>
          <w:szCs w:val="22"/>
        </w:rPr>
      </w:pPr>
    </w:p>
    <w:p w14:paraId="0D345BC5" w14:textId="77777777" w:rsidR="00175852" w:rsidRPr="0099427E" w:rsidRDefault="00175852" w:rsidP="00175852">
      <w:pPr>
        <w:rPr>
          <w:b/>
          <w:sz w:val="22"/>
          <w:szCs w:val="22"/>
        </w:rPr>
      </w:pPr>
      <w:r w:rsidRPr="0099427E">
        <w:rPr>
          <w:b/>
          <w:sz w:val="22"/>
          <w:szCs w:val="22"/>
        </w:rPr>
        <w:t xml:space="preserve">Guided Practice: </w:t>
      </w:r>
    </w:p>
    <w:p w14:paraId="2D397A52" w14:textId="77777777" w:rsidR="00052564" w:rsidRPr="0099427E" w:rsidRDefault="00052564" w:rsidP="00175852">
      <w:pPr>
        <w:rPr>
          <w:sz w:val="22"/>
          <w:szCs w:val="22"/>
        </w:rPr>
      </w:pPr>
    </w:p>
    <w:p w14:paraId="55EE3EA2" w14:textId="18ABA0CD" w:rsidR="002060FE" w:rsidRPr="0099427E" w:rsidRDefault="002060FE" w:rsidP="0046518D">
      <w:pPr>
        <w:pStyle w:val="ListParagraph"/>
        <w:numPr>
          <w:ilvl w:val="0"/>
          <w:numId w:val="12"/>
        </w:numPr>
        <w:rPr>
          <w:sz w:val="22"/>
          <w:szCs w:val="22"/>
        </w:rPr>
      </w:pPr>
      <w:r w:rsidRPr="0099427E">
        <w:rPr>
          <w:sz w:val="22"/>
          <w:szCs w:val="22"/>
        </w:rPr>
        <w:t xml:space="preserve">Divide students into groups of four or five.  </w:t>
      </w:r>
    </w:p>
    <w:p w14:paraId="2FE5A9B0" w14:textId="77777777" w:rsidR="002060FE" w:rsidRPr="0099427E" w:rsidRDefault="002060FE" w:rsidP="002060FE">
      <w:pPr>
        <w:pStyle w:val="ListParagraph"/>
        <w:rPr>
          <w:sz w:val="22"/>
          <w:szCs w:val="22"/>
        </w:rPr>
      </w:pPr>
    </w:p>
    <w:p w14:paraId="5490CBA7" w14:textId="77777777" w:rsidR="00BE471A" w:rsidRPr="0099427E" w:rsidRDefault="0046518D" w:rsidP="0046518D">
      <w:pPr>
        <w:pStyle w:val="ListParagraph"/>
        <w:numPr>
          <w:ilvl w:val="0"/>
          <w:numId w:val="12"/>
        </w:numPr>
        <w:rPr>
          <w:sz w:val="22"/>
          <w:szCs w:val="22"/>
        </w:rPr>
      </w:pPr>
      <w:r w:rsidRPr="0099427E">
        <w:rPr>
          <w:sz w:val="22"/>
          <w:szCs w:val="22"/>
        </w:rPr>
        <w:t>Ex</w:t>
      </w:r>
      <w:r w:rsidR="00BE471A" w:rsidRPr="0099427E">
        <w:rPr>
          <w:sz w:val="22"/>
          <w:szCs w:val="22"/>
        </w:rPr>
        <w:t xml:space="preserve">plain the activity to students.  In their groups, they will receive a short freedom of religion scenario based on a previous court case taken up by the U.S. Supreme Court.  </w:t>
      </w:r>
    </w:p>
    <w:p w14:paraId="22F9ED7B" w14:textId="77777777" w:rsidR="00BE471A" w:rsidRPr="0099427E" w:rsidRDefault="00BE471A" w:rsidP="00CD5B24">
      <w:pPr>
        <w:rPr>
          <w:sz w:val="22"/>
          <w:szCs w:val="22"/>
        </w:rPr>
      </w:pPr>
    </w:p>
    <w:p w14:paraId="7F5C3A6D" w14:textId="76EDECF4" w:rsidR="00BE471A" w:rsidRPr="0099427E" w:rsidRDefault="00BE471A" w:rsidP="00BE471A">
      <w:pPr>
        <w:pStyle w:val="ListParagraph"/>
        <w:numPr>
          <w:ilvl w:val="0"/>
          <w:numId w:val="12"/>
        </w:numPr>
        <w:rPr>
          <w:sz w:val="22"/>
          <w:szCs w:val="22"/>
        </w:rPr>
      </w:pPr>
      <w:r w:rsidRPr="0099427E">
        <w:rPr>
          <w:sz w:val="22"/>
          <w:szCs w:val="22"/>
        </w:rPr>
        <w:t xml:space="preserve">After they have </w:t>
      </w:r>
      <w:r w:rsidR="00715732" w:rsidRPr="0099427E">
        <w:rPr>
          <w:sz w:val="22"/>
          <w:szCs w:val="22"/>
        </w:rPr>
        <w:t>read their scenario</w:t>
      </w:r>
      <w:r w:rsidRPr="0099427E">
        <w:rPr>
          <w:sz w:val="22"/>
          <w:szCs w:val="22"/>
        </w:rPr>
        <w:t xml:space="preserve">, they are to apply the </w:t>
      </w:r>
      <w:r w:rsidR="0016255A" w:rsidRPr="0099427E">
        <w:rPr>
          <w:sz w:val="22"/>
          <w:szCs w:val="22"/>
        </w:rPr>
        <w:t xml:space="preserve">criteria of the </w:t>
      </w:r>
      <w:r w:rsidRPr="0099427E">
        <w:rPr>
          <w:sz w:val="22"/>
          <w:szCs w:val="22"/>
        </w:rPr>
        <w:t>Lemon Test to t</w:t>
      </w:r>
      <w:r w:rsidR="0016255A" w:rsidRPr="0099427E">
        <w:rPr>
          <w:sz w:val="22"/>
          <w:szCs w:val="22"/>
        </w:rPr>
        <w:t>he specific scenario and write their own</w:t>
      </w:r>
      <w:r w:rsidRPr="0099427E">
        <w:rPr>
          <w:sz w:val="22"/>
          <w:szCs w:val="22"/>
        </w:rPr>
        <w:t xml:space="preserve"> decision.  Students are to record their answers on the </w:t>
      </w:r>
      <w:r w:rsidR="0016255A" w:rsidRPr="0099427E">
        <w:rPr>
          <w:sz w:val="22"/>
          <w:szCs w:val="22"/>
        </w:rPr>
        <w:t xml:space="preserve">handout.  </w:t>
      </w:r>
    </w:p>
    <w:p w14:paraId="2B0EDC42" w14:textId="77777777" w:rsidR="00BE471A" w:rsidRPr="0099427E" w:rsidRDefault="00BE471A" w:rsidP="006375E1">
      <w:pPr>
        <w:rPr>
          <w:sz w:val="22"/>
          <w:szCs w:val="22"/>
        </w:rPr>
      </w:pPr>
    </w:p>
    <w:p w14:paraId="3D3D305A" w14:textId="01134DB1" w:rsidR="00BE471A" w:rsidRPr="0099427E" w:rsidRDefault="00BE471A" w:rsidP="00BE471A">
      <w:pPr>
        <w:pStyle w:val="ListParagraph"/>
        <w:numPr>
          <w:ilvl w:val="0"/>
          <w:numId w:val="12"/>
        </w:numPr>
        <w:rPr>
          <w:sz w:val="22"/>
          <w:szCs w:val="22"/>
        </w:rPr>
      </w:pPr>
      <w:r w:rsidRPr="0099427E">
        <w:rPr>
          <w:sz w:val="22"/>
          <w:szCs w:val="22"/>
        </w:rPr>
        <w:t xml:space="preserve">After each group </w:t>
      </w:r>
      <w:r w:rsidR="000A2431" w:rsidRPr="0099427E">
        <w:rPr>
          <w:sz w:val="22"/>
          <w:szCs w:val="22"/>
        </w:rPr>
        <w:t xml:space="preserve">finishes their scenario, they are to rotate until they have completed each one.    </w:t>
      </w:r>
    </w:p>
    <w:p w14:paraId="5106D046" w14:textId="77777777" w:rsidR="00BE471A" w:rsidRPr="0099427E" w:rsidRDefault="00BE471A" w:rsidP="00BE471A">
      <w:pPr>
        <w:pStyle w:val="ListParagraph"/>
        <w:rPr>
          <w:sz w:val="22"/>
          <w:szCs w:val="22"/>
        </w:rPr>
      </w:pPr>
    </w:p>
    <w:p w14:paraId="11166705" w14:textId="3D642BAD" w:rsidR="00052564" w:rsidRPr="0099427E" w:rsidRDefault="00B83F96" w:rsidP="00175852">
      <w:pPr>
        <w:pStyle w:val="ListParagraph"/>
        <w:numPr>
          <w:ilvl w:val="0"/>
          <w:numId w:val="12"/>
        </w:numPr>
        <w:rPr>
          <w:sz w:val="22"/>
          <w:szCs w:val="22"/>
        </w:rPr>
      </w:pPr>
      <w:r w:rsidRPr="0099427E">
        <w:rPr>
          <w:sz w:val="22"/>
          <w:szCs w:val="22"/>
        </w:rPr>
        <w:t xml:space="preserve">Bring the class back together and reveal the decisions made by the Supreme Court in each instance.  Have </w:t>
      </w:r>
      <w:r w:rsidR="00040612" w:rsidRPr="0099427E">
        <w:rPr>
          <w:sz w:val="22"/>
          <w:szCs w:val="22"/>
        </w:rPr>
        <w:t>group</w:t>
      </w:r>
      <w:r w:rsidRPr="0099427E">
        <w:rPr>
          <w:sz w:val="22"/>
          <w:szCs w:val="22"/>
        </w:rPr>
        <w:t>s check their decision and rational</w:t>
      </w:r>
      <w:r w:rsidR="009E58A7" w:rsidRPr="0099427E">
        <w:rPr>
          <w:sz w:val="22"/>
          <w:szCs w:val="22"/>
        </w:rPr>
        <w:t>e</w:t>
      </w:r>
      <w:r w:rsidRPr="0099427E">
        <w:rPr>
          <w:sz w:val="22"/>
          <w:szCs w:val="22"/>
        </w:rPr>
        <w:t xml:space="preserve"> to </w:t>
      </w:r>
      <w:r w:rsidR="00040612" w:rsidRPr="0099427E">
        <w:rPr>
          <w:sz w:val="22"/>
          <w:szCs w:val="22"/>
        </w:rPr>
        <w:t>with the Supreme Court’s Decision</w:t>
      </w:r>
      <w:r w:rsidRPr="0099427E">
        <w:rPr>
          <w:sz w:val="22"/>
          <w:szCs w:val="22"/>
        </w:rPr>
        <w:t xml:space="preserve">.  </w:t>
      </w:r>
      <w:r w:rsidR="000F1A97" w:rsidRPr="0099427E">
        <w:rPr>
          <w:sz w:val="22"/>
          <w:szCs w:val="22"/>
        </w:rPr>
        <w:t>Award “Lemon Points</w:t>
      </w:r>
      <w:r w:rsidR="000F1D07" w:rsidRPr="0099427E">
        <w:rPr>
          <w:sz w:val="22"/>
          <w:szCs w:val="22"/>
        </w:rPr>
        <w:t>”</w:t>
      </w:r>
      <w:r w:rsidR="00A7261B" w:rsidRPr="0099427E">
        <w:rPr>
          <w:sz w:val="22"/>
          <w:szCs w:val="22"/>
        </w:rPr>
        <w:t xml:space="preserve"> (extra credit, lemon drops</w:t>
      </w:r>
      <w:r w:rsidR="00040612" w:rsidRPr="0099427E">
        <w:rPr>
          <w:sz w:val="22"/>
          <w:szCs w:val="22"/>
        </w:rPr>
        <w:t xml:space="preserve">, </w:t>
      </w:r>
      <w:r w:rsidR="00A7261B" w:rsidRPr="0099427E">
        <w:rPr>
          <w:sz w:val="22"/>
          <w:szCs w:val="22"/>
        </w:rPr>
        <w:t>etc.)</w:t>
      </w:r>
      <w:r w:rsidR="000F1A97" w:rsidRPr="0099427E">
        <w:rPr>
          <w:sz w:val="22"/>
          <w:szCs w:val="22"/>
        </w:rPr>
        <w:t xml:space="preserve"> to the group with the decision and rational</w:t>
      </w:r>
      <w:r w:rsidR="009E58A7" w:rsidRPr="0099427E">
        <w:rPr>
          <w:sz w:val="22"/>
          <w:szCs w:val="22"/>
        </w:rPr>
        <w:t>e</w:t>
      </w:r>
      <w:r w:rsidR="000F1A97" w:rsidRPr="0099427E">
        <w:rPr>
          <w:sz w:val="22"/>
          <w:szCs w:val="22"/>
        </w:rPr>
        <w:t xml:space="preserve"> that </w:t>
      </w:r>
      <w:r w:rsidR="000F1D07" w:rsidRPr="0099427E">
        <w:rPr>
          <w:sz w:val="22"/>
          <w:szCs w:val="22"/>
        </w:rPr>
        <w:t xml:space="preserve">most closely </w:t>
      </w:r>
      <w:r w:rsidR="00040612" w:rsidRPr="0099427E">
        <w:rPr>
          <w:sz w:val="22"/>
          <w:szCs w:val="22"/>
        </w:rPr>
        <w:t>resemble</w:t>
      </w:r>
      <w:r w:rsidR="000F1D07" w:rsidRPr="0099427E">
        <w:rPr>
          <w:sz w:val="22"/>
          <w:szCs w:val="22"/>
        </w:rPr>
        <w:t xml:space="preserve">s the Supreme Court’s decision and rationale.  </w:t>
      </w:r>
      <w:r w:rsidR="000F1A97" w:rsidRPr="0099427E">
        <w:rPr>
          <w:sz w:val="22"/>
          <w:szCs w:val="22"/>
        </w:rPr>
        <w:t xml:space="preserve">  </w:t>
      </w:r>
    </w:p>
    <w:p w14:paraId="2CB13EC1" w14:textId="77777777" w:rsidR="00175852" w:rsidRPr="0099427E" w:rsidRDefault="00175852" w:rsidP="00175852">
      <w:pPr>
        <w:rPr>
          <w:sz w:val="22"/>
          <w:szCs w:val="22"/>
        </w:rPr>
      </w:pPr>
    </w:p>
    <w:p w14:paraId="26C12FB5" w14:textId="77777777" w:rsidR="00175852" w:rsidRPr="0099427E" w:rsidRDefault="00175852" w:rsidP="00175852">
      <w:pPr>
        <w:rPr>
          <w:b/>
          <w:sz w:val="22"/>
          <w:szCs w:val="22"/>
        </w:rPr>
      </w:pPr>
      <w:r w:rsidRPr="0099427E">
        <w:rPr>
          <w:b/>
          <w:sz w:val="22"/>
          <w:szCs w:val="22"/>
        </w:rPr>
        <w:t xml:space="preserve">Independent Practice: </w:t>
      </w:r>
    </w:p>
    <w:p w14:paraId="01E5961D" w14:textId="77777777" w:rsidR="00B83F96" w:rsidRPr="0099427E" w:rsidRDefault="00B83F96" w:rsidP="00175852">
      <w:pPr>
        <w:rPr>
          <w:sz w:val="22"/>
          <w:szCs w:val="22"/>
        </w:rPr>
      </w:pPr>
    </w:p>
    <w:p w14:paraId="5FBC8BF5" w14:textId="4EAD7A77" w:rsidR="00B83F96" w:rsidRPr="0099427E" w:rsidRDefault="00BB0B52" w:rsidP="00BB0B52">
      <w:pPr>
        <w:pStyle w:val="ListParagraph"/>
        <w:numPr>
          <w:ilvl w:val="0"/>
          <w:numId w:val="13"/>
        </w:numPr>
        <w:rPr>
          <w:sz w:val="22"/>
          <w:szCs w:val="22"/>
        </w:rPr>
      </w:pPr>
      <w:r w:rsidRPr="0099427E">
        <w:rPr>
          <w:sz w:val="22"/>
          <w:szCs w:val="22"/>
        </w:rPr>
        <w:t xml:space="preserve">Explain to students that they are about to watch a video </w:t>
      </w:r>
      <w:r w:rsidR="0043515C" w:rsidRPr="0099427E">
        <w:rPr>
          <w:sz w:val="22"/>
          <w:szCs w:val="22"/>
        </w:rPr>
        <w:t>on an</w:t>
      </w:r>
      <w:r w:rsidRPr="0099427E">
        <w:rPr>
          <w:sz w:val="22"/>
          <w:szCs w:val="22"/>
        </w:rPr>
        <w:t xml:space="preserve"> important </w:t>
      </w:r>
      <w:r w:rsidR="0043515C" w:rsidRPr="0099427E">
        <w:rPr>
          <w:sz w:val="22"/>
          <w:szCs w:val="22"/>
        </w:rPr>
        <w:t>issue</w:t>
      </w:r>
      <w:r w:rsidRPr="0099427E">
        <w:rPr>
          <w:sz w:val="22"/>
          <w:szCs w:val="22"/>
        </w:rPr>
        <w:t xml:space="preserve"> related to freedom of religion: conscientious objection.  </w:t>
      </w:r>
    </w:p>
    <w:p w14:paraId="282D0156" w14:textId="77777777" w:rsidR="000D00D5" w:rsidRPr="0099427E" w:rsidRDefault="000D00D5" w:rsidP="000D00D5">
      <w:pPr>
        <w:pStyle w:val="ListParagraph"/>
        <w:rPr>
          <w:sz w:val="22"/>
          <w:szCs w:val="22"/>
        </w:rPr>
      </w:pPr>
    </w:p>
    <w:p w14:paraId="0E13C9AF" w14:textId="4EDB38B6" w:rsidR="000D00D5" w:rsidRPr="0099427E" w:rsidRDefault="00BB48A5" w:rsidP="00BB0B52">
      <w:pPr>
        <w:pStyle w:val="ListParagraph"/>
        <w:numPr>
          <w:ilvl w:val="0"/>
          <w:numId w:val="13"/>
        </w:numPr>
        <w:rPr>
          <w:sz w:val="22"/>
          <w:szCs w:val="22"/>
        </w:rPr>
      </w:pPr>
      <w:r w:rsidRPr="0099427E">
        <w:rPr>
          <w:sz w:val="22"/>
          <w:szCs w:val="22"/>
        </w:rPr>
        <w:lastRenderedPageBreak/>
        <w:t xml:space="preserve">Play the video.  After </w:t>
      </w:r>
      <w:r w:rsidR="000D00D5" w:rsidRPr="0099427E">
        <w:rPr>
          <w:sz w:val="22"/>
          <w:szCs w:val="22"/>
        </w:rPr>
        <w:t>the</w:t>
      </w:r>
      <w:r w:rsidRPr="0099427E">
        <w:rPr>
          <w:sz w:val="22"/>
          <w:szCs w:val="22"/>
        </w:rPr>
        <w:t xml:space="preserve"> class has viewed the</w:t>
      </w:r>
      <w:r w:rsidR="000D00D5" w:rsidRPr="0099427E">
        <w:rPr>
          <w:sz w:val="22"/>
          <w:szCs w:val="22"/>
        </w:rPr>
        <w:t xml:space="preserve"> video</w:t>
      </w:r>
      <w:r w:rsidRPr="0099427E">
        <w:rPr>
          <w:sz w:val="22"/>
          <w:szCs w:val="22"/>
        </w:rPr>
        <w:t xml:space="preserve">, </w:t>
      </w:r>
      <w:r w:rsidR="001A389F" w:rsidRPr="0099427E">
        <w:rPr>
          <w:sz w:val="22"/>
          <w:szCs w:val="22"/>
        </w:rPr>
        <w:t xml:space="preserve">bring the class back for a short discussion </w:t>
      </w:r>
      <w:r w:rsidR="00760A67" w:rsidRPr="0099427E">
        <w:rPr>
          <w:sz w:val="22"/>
          <w:szCs w:val="22"/>
        </w:rPr>
        <w:t xml:space="preserve">about what they witnessed in the video </w:t>
      </w:r>
      <w:r w:rsidR="001A389F" w:rsidRPr="0099427E">
        <w:rPr>
          <w:sz w:val="22"/>
          <w:szCs w:val="22"/>
        </w:rPr>
        <w:t>before proceeding to the independent practice</w:t>
      </w:r>
      <w:r w:rsidR="00D95035" w:rsidRPr="0099427E">
        <w:rPr>
          <w:sz w:val="22"/>
          <w:szCs w:val="22"/>
        </w:rPr>
        <w:t xml:space="preserve"> portion of the lesson</w:t>
      </w:r>
      <w:r w:rsidR="001A389F" w:rsidRPr="0099427E">
        <w:rPr>
          <w:sz w:val="22"/>
          <w:szCs w:val="22"/>
        </w:rPr>
        <w:t xml:space="preserve">.  </w:t>
      </w:r>
    </w:p>
    <w:p w14:paraId="6D06D0DF" w14:textId="77777777" w:rsidR="00BB0B52" w:rsidRPr="0099427E" w:rsidRDefault="00BB0B52" w:rsidP="00BB0B52">
      <w:pPr>
        <w:pStyle w:val="ListParagraph"/>
        <w:rPr>
          <w:sz w:val="22"/>
          <w:szCs w:val="22"/>
        </w:rPr>
      </w:pPr>
    </w:p>
    <w:p w14:paraId="7B6415E4" w14:textId="0875A10E" w:rsidR="00BB0B52" w:rsidRPr="0099427E" w:rsidRDefault="005C215B" w:rsidP="00BB0B52">
      <w:pPr>
        <w:pStyle w:val="ListParagraph"/>
        <w:numPr>
          <w:ilvl w:val="0"/>
          <w:numId w:val="13"/>
        </w:numPr>
        <w:rPr>
          <w:sz w:val="22"/>
          <w:szCs w:val="22"/>
        </w:rPr>
      </w:pPr>
      <w:r w:rsidRPr="0099427E">
        <w:rPr>
          <w:sz w:val="22"/>
          <w:szCs w:val="22"/>
        </w:rPr>
        <w:t xml:space="preserve">Depending on remaining class </w:t>
      </w:r>
      <w:r w:rsidR="000D00D5" w:rsidRPr="0099427E">
        <w:rPr>
          <w:sz w:val="22"/>
          <w:szCs w:val="22"/>
        </w:rPr>
        <w:t>time, s</w:t>
      </w:r>
      <w:r w:rsidR="000F1A97" w:rsidRPr="0099427E">
        <w:rPr>
          <w:sz w:val="22"/>
          <w:szCs w:val="22"/>
        </w:rPr>
        <w:t xml:space="preserve">tudents should answer </w:t>
      </w:r>
      <w:r w:rsidR="000A6AE8" w:rsidRPr="0099427E">
        <w:rPr>
          <w:sz w:val="22"/>
          <w:szCs w:val="22"/>
        </w:rPr>
        <w:t>one or all of the</w:t>
      </w:r>
      <w:r w:rsidR="000F1A97" w:rsidRPr="0099427E">
        <w:rPr>
          <w:sz w:val="22"/>
          <w:szCs w:val="22"/>
        </w:rPr>
        <w:t xml:space="preserve"> following questions related to the video:</w:t>
      </w:r>
    </w:p>
    <w:p w14:paraId="16995841" w14:textId="77777777" w:rsidR="000F1A97" w:rsidRPr="0099427E" w:rsidRDefault="000F1A97" w:rsidP="000F1A97">
      <w:pPr>
        <w:pStyle w:val="ListParagraph"/>
        <w:rPr>
          <w:sz w:val="22"/>
          <w:szCs w:val="22"/>
        </w:rPr>
      </w:pPr>
    </w:p>
    <w:p w14:paraId="4D5BDEF7" w14:textId="1BAAC070" w:rsidR="000F1A97" w:rsidRPr="0099427E" w:rsidRDefault="000F1A97" w:rsidP="000F1A97">
      <w:pPr>
        <w:pStyle w:val="ListParagraph"/>
        <w:numPr>
          <w:ilvl w:val="1"/>
          <w:numId w:val="13"/>
        </w:numPr>
        <w:rPr>
          <w:sz w:val="22"/>
          <w:szCs w:val="22"/>
        </w:rPr>
      </w:pPr>
      <w:r w:rsidRPr="0099427E">
        <w:rPr>
          <w:sz w:val="22"/>
          <w:szCs w:val="22"/>
        </w:rPr>
        <w:t xml:space="preserve">Apply the Lemon Test to this scenario.  </w:t>
      </w:r>
      <w:r w:rsidR="00C77112" w:rsidRPr="0099427E">
        <w:rPr>
          <w:sz w:val="22"/>
          <w:szCs w:val="22"/>
        </w:rPr>
        <w:t xml:space="preserve">Can the government actually require someone to serve in the military if it is against their religion?  Is Fin within his constitutional rights by conscientiously objecting?  </w:t>
      </w:r>
      <w:r w:rsidRPr="0099427E">
        <w:rPr>
          <w:sz w:val="22"/>
          <w:szCs w:val="22"/>
        </w:rPr>
        <w:t xml:space="preserve">Explain your answer.  </w:t>
      </w:r>
    </w:p>
    <w:p w14:paraId="6D1D1725" w14:textId="77777777" w:rsidR="000F1A97" w:rsidRPr="0099427E" w:rsidRDefault="000F1A97" w:rsidP="000F1A97">
      <w:pPr>
        <w:pStyle w:val="ListParagraph"/>
        <w:ind w:left="1440"/>
        <w:rPr>
          <w:sz w:val="22"/>
          <w:szCs w:val="22"/>
        </w:rPr>
      </w:pPr>
    </w:p>
    <w:p w14:paraId="10C23701" w14:textId="2596A8DA" w:rsidR="000F1A97" w:rsidRPr="0099427E" w:rsidRDefault="000A6AE8" w:rsidP="000F1A97">
      <w:pPr>
        <w:pStyle w:val="ListParagraph"/>
        <w:numPr>
          <w:ilvl w:val="1"/>
          <w:numId w:val="13"/>
        </w:numPr>
        <w:rPr>
          <w:sz w:val="22"/>
          <w:szCs w:val="22"/>
        </w:rPr>
      </w:pPr>
      <w:r w:rsidRPr="0099427E">
        <w:rPr>
          <w:sz w:val="22"/>
          <w:szCs w:val="22"/>
        </w:rPr>
        <w:t>Is the Lemon Test a good procedure for decid</w:t>
      </w:r>
      <w:r w:rsidR="006375E1" w:rsidRPr="0099427E">
        <w:rPr>
          <w:sz w:val="22"/>
          <w:szCs w:val="22"/>
        </w:rPr>
        <w:t>ing issues related to freedom of</w:t>
      </w:r>
      <w:r w:rsidRPr="0099427E">
        <w:rPr>
          <w:sz w:val="22"/>
          <w:szCs w:val="22"/>
        </w:rPr>
        <w:t xml:space="preserve"> religion?  </w:t>
      </w:r>
      <w:r w:rsidR="00C77112" w:rsidRPr="0099427E">
        <w:rPr>
          <w:sz w:val="22"/>
          <w:szCs w:val="22"/>
        </w:rPr>
        <w:t xml:space="preserve">Why or why not?  </w:t>
      </w:r>
      <w:r w:rsidR="00B20A43" w:rsidRPr="0099427E">
        <w:rPr>
          <w:sz w:val="22"/>
          <w:szCs w:val="22"/>
        </w:rPr>
        <w:t xml:space="preserve">Would you propose a different test?  </w:t>
      </w:r>
      <w:r w:rsidR="00C77112" w:rsidRPr="0099427E">
        <w:rPr>
          <w:sz w:val="22"/>
          <w:szCs w:val="22"/>
        </w:rPr>
        <w:t xml:space="preserve">If so, what would you propose?  </w:t>
      </w:r>
    </w:p>
    <w:p w14:paraId="489C7C47" w14:textId="77777777" w:rsidR="000A6AE8" w:rsidRPr="0099427E" w:rsidRDefault="000A6AE8" w:rsidP="000A6AE8">
      <w:pPr>
        <w:pStyle w:val="ListParagraph"/>
        <w:rPr>
          <w:sz w:val="22"/>
          <w:szCs w:val="22"/>
        </w:rPr>
      </w:pPr>
    </w:p>
    <w:p w14:paraId="783713D0" w14:textId="6EC4C704" w:rsidR="009E58A7" w:rsidRPr="0099427E" w:rsidRDefault="000A6AE8" w:rsidP="009E58A7">
      <w:pPr>
        <w:pStyle w:val="ListParagraph"/>
        <w:numPr>
          <w:ilvl w:val="1"/>
          <w:numId w:val="13"/>
        </w:numPr>
        <w:rPr>
          <w:sz w:val="22"/>
          <w:szCs w:val="22"/>
        </w:rPr>
      </w:pPr>
      <w:r w:rsidRPr="0099427E">
        <w:rPr>
          <w:sz w:val="22"/>
          <w:szCs w:val="22"/>
        </w:rPr>
        <w:t xml:space="preserve">Should the common good of the nation trump individual rights related to religion?  Support your answer with reasoning and evidence from today’s class.  </w:t>
      </w:r>
    </w:p>
    <w:p w14:paraId="48A193C7" w14:textId="77777777" w:rsidR="000D00D5" w:rsidRPr="0099427E" w:rsidRDefault="000D00D5" w:rsidP="000D00D5">
      <w:pPr>
        <w:rPr>
          <w:sz w:val="22"/>
          <w:szCs w:val="22"/>
        </w:rPr>
      </w:pPr>
    </w:p>
    <w:p w14:paraId="020662AD" w14:textId="77777777" w:rsidR="00801390" w:rsidRPr="0099427E" w:rsidRDefault="00801390">
      <w:pPr>
        <w:rPr>
          <w:b/>
          <w:sz w:val="22"/>
          <w:szCs w:val="22"/>
        </w:rPr>
      </w:pPr>
      <w:r w:rsidRPr="0099427E">
        <w:rPr>
          <w:b/>
          <w:sz w:val="22"/>
          <w:szCs w:val="22"/>
        </w:rPr>
        <w:t xml:space="preserve">Modifications: </w:t>
      </w:r>
    </w:p>
    <w:p w14:paraId="4A043AEC" w14:textId="77777777" w:rsidR="00801390" w:rsidRPr="0099427E" w:rsidRDefault="00801390">
      <w:pPr>
        <w:rPr>
          <w:b/>
          <w:sz w:val="22"/>
          <w:szCs w:val="22"/>
        </w:rPr>
      </w:pPr>
    </w:p>
    <w:p w14:paraId="1F5552CB" w14:textId="77777777" w:rsidR="00801390" w:rsidRPr="0099427E" w:rsidRDefault="00801390">
      <w:pPr>
        <w:rPr>
          <w:sz w:val="22"/>
          <w:szCs w:val="22"/>
        </w:rPr>
      </w:pPr>
      <w:r w:rsidRPr="0099427E">
        <w:rPr>
          <w:sz w:val="22"/>
          <w:szCs w:val="22"/>
        </w:rPr>
        <w:t>Special Education and English Language Learner (ELL) modifications:</w:t>
      </w:r>
    </w:p>
    <w:p w14:paraId="2756052C" w14:textId="77777777" w:rsidR="00801390" w:rsidRPr="0099427E" w:rsidRDefault="00931298" w:rsidP="00931298">
      <w:pPr>
        <w:pStyle w:val="ListParagraph"/>
        <w:numPr>
          <w:ilvl w:val="0"/>
          <w:numId w:val="5"/>
        </w:numPr>
        <w:rPr>
          <w:sz w:val="22"/>
          <w:szCs w:val="22"/>
        </w:rPr>
      </w:pPr>
      <w:r w:rsidRPr="0099427E">
        <w:rPr>
          <w:sz w:val="22"/>
          <w:szCs w:val="22"/>
        </w:rPr>
        <w:t>You should assign groups purposefully to ensure that each student is able to engage with the reading material</w:t>
      </w:r>
    </w:p>
    <w:p w14:paraId="2A113124" w14:textId="77777777" w:rsidR="00931298" w:rsidRPr="0099427E" w:rsidRDefault="00931298" w:rsidP="00931298">
      <w:pPr>
        <w:pStyle w:val="ListParagraph"/>
        <w:numPr>
          <w:ilvl w:val="0"/>
          <w:numId w:val="5"/>
        </w:numPr>
        <w:rPr>
          <w:sz w:val="22"/>
          <w:szCs w:val="22"/>
        </w:rPr>
      </w:pPr>
      <w:r w:rsidRPr="0099427E">
        <w:rPr>
          <w:sz w:val="22"/>
          <w:szCs w:val="22"/>
        </w:rPr>
        <w:t>You may use reading-partner strategy</w:t>
      </w:r>
    </w:p>
    <w:p w14:paraId="709708D8" w14:textId="77777777" w:rsidR="00931298" w:rsidRPr="0099427E" w:rsidRDefault="00931298" w:rsidP="00931298">
      <w:pPr>
        <w:pStyle w:val="ListParagraph"/>
        <w:numPr>
          <w:ilvl w:val="0"/>
          <w:numId w:val="5"/>
        </w:numPr>
        <w:rPr>
          <w:sz w:val="22"/>
          <w:szCs w:val="22"/>
        </w:rPr>
      </w:pPr>
      <w:r w:rsidRPr="0099427E">
        <w:rPr>
          <w:sz w:val="22"/>
          <w:szCs w:val="22"/>
        </w:rPr>
        <w:t>You may modify the assessment component by shortening the writing product or asking that students focus on only one aspect of the community for initial writing</w:t>
      </w:r>
    </w:p>
    <w:p w14:paraId="6D3B2D58" w14:textId="77777777" w:rsidR="00931298" w:rsidRPr="0099427E" w:rsidRDefault="00931298" w:rsidP="00931298">
      <w:pPr>
        <w:pStyle w:val="ListParagraph"/>
        <w:numPr>
          <w:ilvl w:val="0"/>
          <w:numId w:val="5"/>
        </w:numPr>
        <w:rPr>
          <w:sz w:val="22"/>
          <w:szCs w:val="22"/>
        </w:rPr>
      </w:pPr>
      <w:r w:rsidRPr="0099427E">
        <w:rPr>
          <w:sz w:val="22"/>
          <w:szCs w:val="22"/>
        </w:rPr>
        <w:t>If needed, students may also dictate responses to the teacher or classmate and/or use word processing equipment</w:t>
      </w:r>
    </w:p>
    <w:p w14:paraId="124771F2" w14:textId="77777777" w:rsidR="00931298" w:rsidRPr="0099427E" w:rsidRDefault="00931298" w:rsidP="00931298">
      <w:pPr>
        <w:pStyle w:val="ListParagraph"/>
        <w:numPr>
          <w:ilvl w:val="0"/>
          <w:numId w:val="5"/>
        </w:numPr>
        <w:rPr>
          <w:sz w:val="22"/>
          <w:szCs w:val="22"/>
        </w:rPr>
      </w:pPr>
      <w:r w:rsidRPr="0099427E">
        <w:rPr>
          <w:sz w:val="22"/>
          <w:szCs w:val="22"/>
        </w:rPr>
        <w:t xml:space="preserve">Learning will be supported through group discussion </w:t>
      </w:r>
    </w:p>
    <w:p w14:paraId="6A3FCBA8" w14:textId="77777777" w:rsidR="00437DAB" w:rsidRPr="0099427E" w:rsidRDefault="00437DAB" w:rsidP="004148D2">
      <w:pPr>
        <w:rPr>
          <w:sz w:val="22"/>
          <w:szCs w:val="22"/>
        </w:rPr>
      </w:pPr>
    </w:p>
    <w:p w14:paraId="530BA6E9" w14:textId="77777777" w:rsidR="000A6AE8" w:rsidRPr="0099427E" w:rsidRDefault="000A6AE8" w:rsidP="00FB1A6F">
      <w:pPr>
        <w:jc w:val="center"/>
        <w:rPr>
          <w:b/>
          <w:sz w:val="22"/>
          <w:szCs w:val="22"/>
        </w:rPr>
      </w:pPr>
    </w:p>
    <w:p w14:paraId="5B666E16" w14:textId="77777777" w:rsidR="00B67189" w:rsidRPr="0099427E" w:rsidRDefault="00B67189" w:rsidP="00FB1A6F">
      <w:pPr>
        <w:jc w:val="center"/>
        <w:rPr>
          <w:b/>
          <w:sz w:val="22"/>
          <w:szCs w:val="22"/>
        </w:rPr>
      </w:pPr>
    </w:p>
    <w:p w14:paraId="039A2AD2" w14:textId="77777777" w:rsidR="00B67189" w:rsidRPr="0099427E" w:rsidRDefault="00B67189" w:rsidP="00FB1A6F">
      <w:pPr>
        <w:jc w:val="center"/>
        <w:rPr>
          <w:b/>
          <w:sz w:val="22"/>
          <w:szCs w:val="22"/>
        </w:rPr>
      </w:pPr>
    </w:p>
    <w:p w14:paraId="4C69722F" w14:textId="77777777" w:rsidR="00B67189" w:rsidRPr="0099427E" w:rsidRDefault="00B67189" w:rsidP="00FB1A6F">
      <w:pPr>
        <w:jc w:val="center"/>
        <w:rPr>
          <w:b/>
          <w:sz w:val="22"/>
          <w:szCs w:val="22"/>
        </w:rPr>
      </w:pPr>
    </w:p>
    <w:p w14:paraId="044E6240" w14:textId="77777777" w:rsidR="00B67189" w:rsidRPr="0099427E" w:rsidRDefault="00B67189" w:rsidP="00FB1A6F">
      <w:pPr>
        <w:jc w:val="center"/>
        <w:rPr>
          <w:b/>
          <w:sz w:val="22"/>
          <w:szCs w:val="22"/>
        </w:rPr>
      </w:pPr>
    </w:p>
    <w:p w14:paraId="4E1BD750" w14:textId="77777777" w:rsidR="00B67189" w:rsidRDefault="00B67189" w:rsidP="00FB1A6F">
      <w:pPr>
        <w:jc w:val="center"/>
        <w:rPr>
          <w:b/>
        </w:rPr>
      </w:pPr>
    </w:p>
    <w:p w14:paraId="1C8BAF5B" w14:textId="77777777" w:rsidR="0099427E" w:rsidRDefault="0099427E" w:rsidP="00FB1A6F">
      <w:pPr>
        <w:jc w:val="center"/>
        <w:rPr>
          <w:b/>
        </w:rPr>
      </w:pPr>
    </w:p>
    <w:p w14:paraId="35D2F2E7" w14:textId="77777777" w:rsidR="0099427E" w:rsidRDefault="0099427E" w:rsidP="00FB1A6F">
      <w:pPr>
        <w:jc w:val="center"/>
        <w:rPr>
          <w:b/>
        </w:rPr>
      </w:pPr>
    </w:p>
    <w:p w14:paraId="78BD4E46" w14:textId="77777777" w:rsidR="0099427E" w:rsidRDefault="0099427E" w:rsidP="00FB1A6F">
      <w:pPr>
        <w:jc w:val="center"/>
        <w:rPr>
          <w:b/>
        </w:rPr>
      </w:pPr>
    </w:p>
    <w:p w14:paraId="1170C2C7" w14:textId="77777777" w:rsidR="0099427E" w:rsidRDefault="0099427E" w:rsidP="00FB1A6F">
      <w:pPr>
        <w:jc w:val="center"/>
        <w:rPr>
          <w:b/>
        </w:rPr>
      </w:pPr>
    </w:p>
    <w:p w14:paraId="2DECFCC6" w14:textId="77777777" w:rsidR="0099427E" w:rsidRDefault="0099427E" w:rsidP="00FB1A6F">
      <w:pPr>
        <w:jc w:val="center"/>
        <w:rPr>
          <w:b/>
        </w:rPr>
      </w:pPr>
    </w:p>
    <w:p w14:paraId="77A9FF69" w14:textId="77777777" w:rsidR="0099427E" w:rsidRDefault="0099427E" w:rsidP="00FB1A6F">
      <w:pPr>
        <w:jc w:val="center"/>
        <w:rPr>
          <w:b/>
        </w:rPr>
      </w:pPr>
    </w:p>
    <w:p w14:paraId="4FB843EC" w14:textId="77777777" w:rsidR="0099427E" w:rsidRDefault="0099427E" w:rsidP="00FB1A6F">
      <w:pPr>
        <w:jc w:val="center"/>
        <w:rPr>
          <w:b/>
        </w:rPr>
      </w:pPr>
    </w:p>
    <w:p w14:paraId="6B129A69" w14:textId="77777777" w:rsidR="0099427E" w:rsidRDefault="0099427E" w:rsidP="00FB1A6F">
      <w:pPr>
        <w:jc w:val="center"/>
        <w:rPr>
          <w:b/>
        </w:rPr>
      </w:pPr>
    </w:p>
    <w:p w14:paraId="43BA9AA4" w14:textId="77777777" w:rsidR="0099427E" w:rsidRDefault="0099427E" w:rsidP="00FB1A6F">
      <w:pPr>
        <w:jc w:val="center"/>
        <w:rPr>
          <w:b/>
        </w:rPr>
      </w:pPr>
    </w:p>
    <w:p w14:paraId="68CB6004" w14:textId="77777777" w:rsidR="0099427E" w:rsidRDefault="0099427E" w:rsidP="00FB1A6F">
      <w:pPr>
        <w:jc w:val="center"/>
        <w:rPr>
          <w:b/>
        </w:rPr>
      </w:pPr>
    </w:p>
    <w:p w14:paraId="5D2F5C82" w14:textId="77777777" w:rsidR="0099427E" w:rsidRDefault="0099427E" w:rsidP="00FB1A6F">
      <w:pPr>
        <w:jc w:val="center"/>
        <w:rPr>
          <w:b/>
        </w:rPr>
      </w:pPr>
    </w:p>
    <w:p w14:paraId="7CFCC602" w14:textId="77777777" w:rsidR="0099427E" w:rsidRDefault="0099427E" w:rsidP="00FB1A6F">
      <w:pPr>
        <w:jc w:val="center"/>
        <w:rPr>
          <w:b/>
        </w:rPr>
      </w:pPr>
    </w:p>
    <w:p w14:paraId="6B71EA2C" w14:textId="787DD175" w:rsidR="00FB1A6F" w:rsidRPr="00BE5AF0" w:rsidRDefault="00EC7102" w:rsidP="00BE5AF0">
      <w:pPr>
        <w:jc w:val="center"/>
        <w:rPr>
          <w:b/>
        </w:rPr>
      </w:pPr>
      <w:r>
        <w:rPr>
          <w:b/>
        </w:rPr>
        <w:t xml:space="preserve">Lemon Test </w:t>
      </w:r>
      <w:r w:rsidR="00FB1A6F" w:rsidRPr="00BC34FF">
        <w:rPr>
          <w:b/>
        </w:rPr>
        <w:t>Scenarios</w:t>
      </w:r>
    </w:p>
    <w:p w14:paraId="0C31812A" w14:textId="19A35CBA" w:rsidR="00FB1A6F" w:rsidRDefault="00EC7102" w:rsidP="00FB1A6F">
      <w:r>
        <w:rPr>
          <w:rFonts w:ascii="Arial" w:hAnsi="Arial" w:cs="Arial"/>
          <w:noProof/>
          <w:color w:val="004A84"/>
          <w:bdr w:val="none" w:sz="0" w:space="0" w:color="auto" w:frame="1"/>
        </w:rPr>
        <w:drawing>
          <wp:inline distT="0" distB="0" distL="0" distR="0" wp14:anchorId="6EAC1896" wp14:editId="37447D7A">
            <wp:extent cx="417246" cy="314325"/>
            <wp:effectExtent l="0" t="0" r="1905" b="0"/>
            <wp:docPr id="1" name="Picture 1"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t xml:space="preserve"> </w:t>
      </w:r>
      <w:r w:rsidR="00FB1A6F" w:rsidRPr="00EC7102">
        <w:rPr>
          <w:b/>
        </w:rPr>
        <w:t>Scenario #1</w:t>
      </w:r>
    </w:p>
    <w:p w14:paraId="4548C0A0" w14:textId="77777777" w:rsidR="00FB1A6F" w:rsidRDefault="00FB1A6F" w:rsidP="00FB1A6F"/>
    <w:p w14:paraId="640B0671" w14:textId="0C27EA99" w:rsidR="00D14BFA" w:rsidRDefault="00D14BFA" w:rsidP="00D14BFA">
      <w:r>
        <w:t xml:space="preserve">A woman was fired from her job for refusing to work on Saturdays, which is her religion’s holy day.  Because she was fired, she applied for unemployment benefits through her state, but was ultimately denied benefits because the state did not believe she had a strong enough reason to refuse work.  </w:t>
      </w:r>
    </w:p>
    <w:p w14:paraId="0BDC91D9" w14:textId="77777777" w:rsidR="00BC34FF" w:rsidRDefault="00BC34FF" w:rsidP="00FB1A6F"/>
    <w:p w14:paraId="454FD2D8" w14:textId="1C32C211" w:rsidR="00FB1A6F" w:rsidRDefault="00BC34FF" w:rsidP="00FB1A6F">
      <w:r>
        <w:t>------------------------------------------------------------------------------------------------------------</w:t>
      </w:r>
    </w:p>
    <w:p w14:paraId="22588010" w14:textId="721FEB5D" w:rsidR="00FB1A6F" w:rsidRDefault="00EC7102" w:rsidP="00FB1A6F">
      <w:r>
        <w:rPr>
          <w:rFonts w:ascii="Arial" w:hAnsi="Arial" w:cs="Arial"/>
          <w:noProof/>
          <w:color w:val="004A84"/>
          <w:bdr w:val="none" w:sz="0" w:space="0" w:color="auto" w:frame="1"/>
        </w:rPr>
        <w:drawing>
          <wp:inline distT="0" distB="0" distL="0" distR="0" wp14:anchorId="5F1DBD69" wp14:editId="12F83E3D">
            <wp:extent cx="417246" cy="314325"/>
            <wp:effectExtent l="0" t="0" r="1905" b="0"/>
            <wp:docPr id="2" name="Picture 2"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t xml:space="preserve"> </w:t>
      </w:r>
      <w:r w:rsidR="00FB1A6F" w:rsidRPr="00EC7102">
        <w:rPr>
          <w:b/>
        </w:rPr>
        <w:t>Scenario #2</w:t>
      </w:r>
    </w:p>
    <w:p w14:paraId="3835A640" w14:textId="77777777" w:rsidR="00FB1A6F" w:rsidRDefault="00FB1A6F" w:rsidP="00FB1A6F"/>
    <w:p w14:paraId="706526DC" w14:textId="77777777" w:rsidR="00D14BFA" w:rsidRDefault="00D14BFA" w:rsidP="00D14BFA">
      <w:r>
        <w:t xml:space="preserve">A school district in New York City decided that it would have students recite a prayer each morning before the school day started.  However, the prayer made a number of students and parents uncomfortable as they felt it violated their First Amendment rights.  Despite their concerns, the school continued to require the prayer.  </w:t>
      </w:r>
    </w:p>
    <w:p w14:paraId="30136CC1" w14:textId="77777777" w:rsidR="0091159F" w:rsidRDefault="0091159F" w:rsidP="00FB1A6F"/>
    <w:p w14:paraId="598B3D46" w14:textId="0EE5AD37" w:rsidR="00FB1A6F" w:rsidRDefault="00BC34FF" w:rsidP="00FB1A6F">
      <w:r>
        <w:t>------------------------------------------------------------------------------------------------------------</w:t>
      </w:r>
    </w:p>
    <w:p w14:paraId="4DBA84B0" w14:textId="5EE77FD5" w:rsidR="00FB1A6F" w:rsidRDefault="00EC7102" w:rsidP="00FB1A6F">
      <w:r>
        <w:rPr>
          <w:rFonts w:ascii="Arial" w:hAnsi="Arial" w:cs="Arial"/>
          <w:noProof/>
          <w:color w:val="004A84"/>
          <w:bdr w:val="none" w:sz="0" w:space="0" w:color="auto" w:frame="1"/>
        </w:rPr>
        <w:drawing>
          <wp:inline distT="0" distB="0" distL="0" distR="0" wp14:anchorId="1C81E9D4" wp14:editId="3EF4347F">
            <wp:extent cx="417246" cy="314325"/>
            <wp:effectExtent l="0" t="0" r="1905" b="0"/>
            <wp:docPr id="3" name="Picture 3"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t xml:space="preserve"> </w:t>
      </w:r>
      <w:r w:rsidR="00FB1A6F" w:rsidRPr="00EC7102">
        <w:rPr>
          <w:b/>
        </w:rPr>
        <w:t>Scenario #3</w:t>
      </w:r>
    </w:p>
    <w:p w14:paraId="0781411D" w14:textId="77777777" w:rsidR="00FB1A6F" w:rsidRDefault="00FB1A6F" w:rsidP="00FB1A6F"/>
    <w:p w14:paraId="400FB624" w14:textId="5C1BBEBA" w:rsidR="00682612" w:rsidRDefault="00682612" w:rsidP="00FB1A6F">
      <w:r>
        <w:t xml:space="preserve">A city in Rhode Island paid for, created and displayed a </w:t>
      </w:r>
      <w:r w:rsidR="00692C82">
        <w:t xml:space="preserve">Christmas </w:t>
      </w:r>
      <w:r>
        <w:t xml:space="preserve">nativity scene in their city.  Some citizens protested claiming that it violated the Establishment clause and that government should not be promoting </w:t>
      </w:r>
      <w:r w:rsidR="00692C82">
        <w:t xml:space="preserve">any </w:t>
      </w:r>
      <w:r>
        <w:t xml:space="preserve">religion.  </w:t>
      </w:r>
      <w:r w:rsidR="00692C82">
        <w:t xml:space="preserve">Despite their complaints, the city did not take down the display.  </w:t>
      </w:r>
    </w:p>
    <w:p w14:paraId="0FDD50EB" w14:textId="77777777" w:rsidR="00BC34FF" w:rsidRDefault="00BC34FF" w:rsidP="00FB1A6F"/>
    <w:p w14:paraId="467D20E9" w14:textId="4D953895" w:rsidR="00FB1A6F" w:rsidRDefault="00BC34FF" w:rsidP="00FB1A6F">
      <w:r>
        <w:t>------------------------------------------------------------------------------------------------------------</w:t>
      </w:r>
    </w:p>
    <w:p w14:paraId="49646CCD" w14:textId="2D883F0C" w:rsidR="00FB1A6F" w:rsidRDefault="00EC7102" w:rsidP="00FB1A6F">
      <w:r>
        <w:rPr>
          <w:rFonts w:ascii="Arial" w:hAnsi="Arial" w:cs="Arial"/>
          <w:noProof/>
          <w:color w:val="004A84"/>
          <w:bdr w:val="none" w:sz="0" w:space="0" w:color="auto" w:frame="1"/>
        </w:rPr>
        <w:drawing>
          <wp:inline distT="0" distB="0" distL="0" distR="0" wp14:anchorId="32B8B73D" wp14:editId="735A6D4F">
            <wp:extent cx="417246" cy="314325"/>
            <wp:effectExtent l="0" t="0" r="1905" b="0"/>
            <wp:docPr id="4" name="Picture 4"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t xml:space="preserve"> </w:t>
      </w:r>
      <w:r w:rsidR="00FB1A6F" w:rsidRPr="00EC7102">
        <w:rPr>
          <w:b/>
        </w:rPr>
        <w:t>Scenario #4</w:t>
      </w:r>
    </w:p>
    <w:p w14:paraId="2CAECC5D" w14:textId="77777777" w:rsidR="00FB1A6F" w:rsidRDefault="00FB1A6F" w:rsidP="00FB1A6F"/>
    <w:p w14:paraId="743BA644" w14:textId="0E466991" w:rsidR="00FB1A6F" w:rsidRDefault="00AC5E57" w:rsidP="004148D2">
      <w:r>
        <w:t xml:space="preserve">The state of Wisconsin requires students to attend school until they reach the age of sixteen.  However, since many of the things being taught in school are violations of their religion, several Amish families elected to remove their children from school.   Because of this, they were convicted of breaking the law.  </w:t>
      </w:r>
    </w:p>
    <w:p w14:paraId="6EEDABB2" w14:textId="77777777" w:rsidR="00F5170A" w:rsidRDefault="00F5170A" w:rsidP="004148D2"/>
    <w:p w14:paraId="44F52E22" w14:textId="70A8983F" w:rsidR="00FB1A6F" w:rsidRDefault="00BC34FF" w:rsidP="004148D2">
      <w:r>
        <w:t>------------------------------------------------------------------------------------------------------------</w:t>
      </w:r>
    </w:p>
    <w:p w14:paraId="0CF79DA1" w14:textId="266C8DCA" w:rsidR="00FB1A6F" w:rsidRDefault="00EC7102" w:rsidP="004148D2">
      <w:r>
        <w:rPr>
          <w:rFonts w:ascii="Arial" w:hAnsi="Arial" w:cs="Arial"/>
          <w:noProof/>
          <w:color w:val="004A84"/>
          <w:bdr w:val="none" w:sz="0" w:space="0" w:color="auto" w:frame="1"/>
        </w:rPr>
        <w:drawing>
          <wp:inline distT="0" distB="0" distL="0" distR="0" wp14:anchorId="474A0715" wp14:editId="7DFE78C8">
            <wp:extent cx="417246" cy="314325"/>
            <wp:effectExtent l="0" t="0" r="1905" b="0"/>
            <wp:docPr id="5" name="Picture 5"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t xml:space="preserve"> </w:t>
      </w:r>
      <w:r w:rsidR="001A389F" w:rsidRPr="00EC7102">
        <w:rPr>
          <w:b/>
        </w:rPr>
        <w:t>Scenario #5</w:t>
      </w:r>
      <w:r w:rsidR="001A389F">
        <w:t xml:space="preserve"> </w:t>
      </w:r>
    </w:p>
    <w:p w14:paraId="1266E3B6" w14:textId="77777777" w:rsidR="00FB1A6F" w:rsidRDefault="00FB1A6F" w:rsidP="004148D2"/>
    <w:p w14:paraId="608DF46C" w14:textId="35CAD7BA" w:rsidR="0050548F" w:rsidRDefault="00BE5AF0" w:rsidP="004148D2">
      <w:r>
        <w:t>In Massachusetts, churches were granted the authority to prevent alcohol being served within 500 feet of their building.  However, a local restaurant owner objected after his alcohol permit was blocked by a church within ten feet of his restauran</w:t>
      </w:r>
      <w:r w:rsidR="00723271">
        <w:t xml:space="preserve">t, claiming that a church </w:t>
      </w:r>
      <w:r w:rsidR="00C131E4">
        <w:t xml:space="preserve">had no constitutional right to do so.  </w:t>
      </w:r>
    </w:p>
    <w:p w14:paraId="5DFC5AAA" w14:textId="77777777" w:rsidR="006325E8" w:rsidRPr="00D14BFA" w:rsidRDefault="006325E8" w:rsidP="006325E8">
      <w:pPr>
        <w:jc w:val="right"/>
        <w:rPr>
          <w:b/>
        </w:rPr>
      </w:pPr>
      <w:r w:rsidRPr="00D14BFA">
        <w:rPr>
          <w:b/>
        </w:rPr>
        <w:lastRenderedPageBreak/>
        <w:t>Name</w:t>
      </w:r>
      <w:proofErr w:type="gramStart"/>
      <w:r w:rsidRPr="00D14BFA">
        <w:rPr>
          <w:b/>
        </w:rPr>
        <w:t>:_</w:t>
      </w:r>
      <w:proofErr w:type="gramEnd"/>
      <w:r w:rsidRPr="00D14BFA">
        <w:rPr>
          <w:b/>
        </w:rPr>
        <w:t>______________________________</w:t>
      </w:r>
    </w:p>
    <w:p w14:paraId="352F1808" w14:textId="77777777" w:rsidR="006325E8" w:rsidRPr="00D14BFA" w:rsidRDefault="006325E8" w:rsidP="006325E8">
      <w:pPr>
        <w:jc w:val="right"/>
        <w:rPr>
          <w:b/>
        </w:rPr>
      </w:pPr>
      <w:r w:rsidRPr="00D14BFA">
        <w:rPr>
          <w:b/>
        </w:rPr>
        <w:t>Class:_______________________________</w:t>
      </w:r>
    </w:p>
    <w:p w14:paraId="6AB9B070" w14:textId="77777777" w:rsidR="006325E8" w:rsidRPr="00D14BFA" w:rsidRDefault="006325E8" w:rsidP="006325E8">
      <w:pPr>
        <w:jc w:val="right"/>
        <w:rPr>
          <w:b/>
        </w:rPr>
      </w:pPr>
      <w:r w:rsidRPr="00D14BFA">
        <w:rPr>
          <w:b/>
        </w:rPr>
        <w:t>Date:_______________________________</w:t>
      </w:r>
    </w:p>
    <w:p w14:paraId="0FDDE292" w14:textId="77777777" w:rsidR="00D14BFA" w:rsidRPr="00D14BFA" w:rsidRDefault="00D14BFA" w:rsidP="006325E8">
      <w:pPr>
        <w:jc w:val="right"/>
        <w:rPr>
          <w:b/>
        </w:rPr>
      </w:pPr>
    </w:p>
    <w:p w14:paraId="4E49AD2A" w14:textId="285CE8FD" w:rsidR="00D14BFA" w:rsidRPr="00D14BFA" w:rsidRDefault="00D14BFA" w:rsidP="00D14BFA">
      <w:pPr>
        <w:rPr>
          <w:b/>
        </w:rPr>
      </w:pPr>
      <w:r w:rsidRPr="00D14BFA">
        <w:rPr>
          <w:b/>
        </w:rPr>
        <w:t xml:space="preserve">For each of the scenarios, indicate whether it is a question of establishment, free exercise or both.  Then, using the Lemon Test below, indicate how you would rule if you were a judge.  </w:t>
      </w:r>
    </w:p>
    <w:p w14:paraId="0F62FFFD" w14:textId="77777777" w:rsidR="00D14BFA" w:rsidRPr="00D14BFA" w:rsidRDefault="00D14BFA" w:rsidP="00D14BFA">
      <w:pPr>
        <w:rPr>
          <w:b/>
        </w:rPr>
      </w:pPr>
      <w:bookmarkStart w:id="0" w:name="_GoBack"/>
      <w:bookmarkEnd w:id="0"/>
    </w:p>
    <w:p w14:paraId="5C4EEDB1" w14:textId="6376BE2A" w:rsidR="00D14BFA" w:rsidRPr="00D14BFA" w:rsidRDefault="00D14BFA" w:rsidP="00D14BFA">
      <w:pPr>
        <w:rPr>
          <w:b/>
        </w:rPr>
      </w:pPr>
      <w:r w:rsidRPr="00D14BFA">
        <w:rPr>
          <w:b/>
        </w:rPr>
        <w:t xml:space="preserve">In the Lemon Test, government practices must have: </w:t>
      </w:r>
    </w:p>
    <w:p w14:paraId="5B0186C7" w14:textId="77777777" w:rsidR="00D14BFA" w:rsidRPr="00D14BFA" w:rsidRDefault="00D14BFA" w:rsidP="00D14BFA">
      <w:pPr>
        <w:pStyle w:val="ListParagraph"/>
        <w:rPr>
          <w:b/>
        </w:rPr>
      </w:pPr>
    </w:p>
    <w:p w14:paraId="649C5436" w14:textId="0FECDCEE" w:rsidR="00D14BFA" w:rsidRPr="00D14BFA" w:rsidRDefault="00D14BFA" w:rsidP="00D14BFA">
      <w:pPr>
        <w:pStyle w:val="ListParagraph"/>
        <w:numPr>
          <w:ilvl w:val="1"/>
          <w:numId w:val="15"/>
        </w:numPr>
        <w:rPr>
          <w:b/>
        </w:rPr>
      </w:pPr>
      <w:r w:rsidRPr="00D14BFA">
        <w:rPr>
          <w:b/>
        </w:rPr>
        <w:t>A Secular (Non-religious) Purpose</w:t>
      </w:r>
    </w:p>
    <w:p w14:paraId="5C57863D" w14:textId="5214956D" w:rsidR="00D14BFA" w:rsidRPr="00D14BFA" w:rsidRDefault="00D14BFA" w:rsidP="00D14BFA">
      <w:pPr>
        <w:pStyle w:val="ListParagraph"/>
        <w:numPr>
          <w:ilvl w:val="1"/>
          <w:numId w:val="15"/>
        </w:numPr>
        <w:rPr>
          <w:b/>
        </w:rPr>
      </w:pPr>
      <w:r w:rsidRPr="00D14BFA">
        <w:rPr>
          <w:b/>
        </w:rPr>
        <w:t xml:space="preserve">A Secular (Non-religious) Effect </w:t>
      </w:r>
    </w:p>
    <w:p w14:paraId="6D5695CA" w14:textId="145C61FC" w:rsidR="00D14BFA" w:rsidRPr="00D14BFA" w:rsidRDefault="00D14BFA" w:rsidP="00D14BFA">
      <w:pPr>
        <w:pStyle w:val="ListParagraph"/>
        <w:numPr>
          <w:ilvl w:val="1"/>
          <w:numId w:val="15"/>
        </w:numPr>
        <w:rPr>
          <w:b/>
        </w:rPr>
      </w:pPr>
      <w:r w:rsidRPr="00D14BFA">
        <w:rPr>
          <w:b/>
        </w:rPr>
        <w:t xml:space="preserve">No excessive entanglement with religion </w:t>
      </w:r>
    </w:p>
    <w:p w14:paraId="70B2A81A" w14:textId="77777777" w:rsidR="006325E8" w:rsidRDefault="006325E8" w:rsidP="006325E8">
      <w:pPr>
        <w:jc w:val="right"/>
      </w:pPr>
    </w:p>
    <w:tbl>
      <w:tblPr>
        <w:tblStyle w:val="TableGrid"/>
        <w:tblW w:w="11160" w:type="dxa"/>
        <w:tblInd w:w="-1062" w:type="dxa"/>
        <w:tblLook w:val="04A0" w:firstRow="1" w:lastRow="0" w:firstColumn="1" w:lastColumn="0" w:noHBand="0" w:noVBand="1"/>
      </w:tblPr>
      <w:tblGrid>
        <w:gridCol w:w="2430"/>
        <w:gridCol w:w="8730"/>
      </w:tblGrid>
      <w:tr w:rsidR="00CD5B24" w14:paraId="25954932" w14:textId="77777777" w:rsidTr="0060216A">
        <w:tc>
          <w:tcPr>
            <w:tcW w:w="2430" w:type="dxa"/>
          </w:tcPr>
          <w:p w14:paraId="34316C60" w14:textId="77777777" w:rsidR="00CD5B24" w:rsidRDefault="00CD5B24" w:rsidP="004148D2"/>
        </w:tc>
        <w:tc>
          <w:tcPr>
            <w:tcW w:w="8730" w:type="dxa"/>
          </w:tcPr>
          <w:p w14:paraId="1FF7B46E" w14:textId="77777777" w:rsidR="0010440E" w:rsidRDefault="00CD5B24" w:rsidP="0010440E">
            <w:pPr>
              <w:jc w:val="center"/>
            </w:pPr>
            <w:r>
              <w:t xml:space="preserve">Using the Lemon Test, how would you rule in this case? </w:t>
            </w:r>
          </w:p>
          <w:p w14:paraId="08E3C8A6" w14:textId="7CD1A591" w:rsidR="00CD5B24" w:rsidRDefault="00CD5B24" w:rsidP="0010440E">
            <w:pPr>
              <w:jc w:val="center"/>
            </w:pPr>
            <w:r>
              <w:t xml:space="preserve">Explain your reasoning.  </w:t>
            </w:r>
          </w:p>
        </w:tc>
      </w:tr>
      <w:tr w:rsidR="00CD5B24" w14:paraId="19AE2C08" w14:textId="77777777" w:rsidTr="0060216A">
        <w:tc>
          <w:tcPr>
            <w:tcW w:w="2430" w:type="dxa"/>
          </w:tcPr>
          <w:p w14:paraId="18F5FB3B" w14:textId="77777777" w:rsidR="00CD5B24" w:rsidRDefault="00CD5B24" w:rsidP="00390EE4">
            <w:pPr>
              <w:jc w:val="center"/>
            </w:pPr>
          </w:p>
          <w:p w14:paraId="13B2BF32" w14:textId="77777777" w:rsidR="00CD5B24" w:rsidRDefault="00CD5B24" w:rsidP="00D14BFA"/>
          <w:p w14:paraId="09FF1AA2" w14:textId="1AAD643D" w:rsidR="00CD5B24" w:rsidRDefault="00CD5B24" w:rsidP="00390EE4">
            <w:pPr>
              <w:jc w:val="center"/>
            </w:pPr>
            <w:r>
              <w:t>Scenario #1</w:t>
            </w:r>
          </w:p>
          <w:p w14:paraId="1A99A79D" w14:textId="77777777" w:rsidR="00CD5B24" w:rsidRDefault="00CD5B24" w:rsidP="00FB1A6F">
            <w:pPr>
              <w:jc w:val="center"/>
            </w:pPr>
          </w:p>
          <w:p w14:paraId="6B25C22D" w14:textId="0048D65D" w:rsidR="00CD5B24" w:rsidRDefault="00CD5B24" w:rsidP="0060216A"/>
        </w:tc>
        <w:tc>
          <w:tcPr>
            <w:tcW w:w="8730" w:type="dxa"/>
          </w:tcPr>
          <w:p w14:paraId="1CFFBACE" w14:textId="77777777" w:rsidR="00CD5B24" w:rsidRDefault="00CD5B24" w:rsidP="004148D2"/>
        </w:tc>
      </w:tr>
      <w:tr w:rsidR="00CD5B24" w14:paraId="04D2CB05" w14:textId="77777777" w:rsidTr="0060216A">
        <w:tc>
          <w:tcPr>
            <w:tcW w:w="2430" w:type="dxa"/>
          </w:tcPr>
          <w:p w14:paraId="08B7F15A" w14:textId="77777777" w:rsidR="00CD5B24" w:rsidRDefault="00CD5B24" w:rsidP="004148D2"/>
          <w:p w14:paraId="6A6F1D0D" w14:textId="77777777" w:rsidR="0060216A" w:rsidRDefault="0060216A" w:rsidP="00FB1A6F">
            <w:pPr>
              <w:jc w:val="center"/>
            </w:pPr>
          </w:p>
          <w:p w14:paraId="2D5EED3C" w14:textId="77777777" w:rsidR="00CD5B24" w:rsidRDefault="00CD5B24" w:rsidP="0060216A">
            <w:pPr>
              <w:jc w:val="center"/>
            </w:pPr>
            <w:r>
              <w:t>Scenario #2</w:t>
            </w:r>
          </w:p>
          <w:p w14:paraId="2DBFDD3B" w14:textId="77777777" w:rsidR="0060216A" w:rsidRDefault="0060216A" w:rsidP="0060216A">
            <w:pPr>
              <w:jc w:val="center"/>
            </w:pPr>
          </w:p>
          <w:p w14:paraId="3496F062" w14:textId="77777777" w:rsidR="0060216A" w:rsidRDefault="0060216A" w:rsidP="0060216A">
            <w:pPr>
              <w:jc w:val="center"/>
            </w:pPr>
          </w:p>
          <w:p w14:paraId="49DBF56A" w14:textId="5622E373" w:rsidR="0060216A" w:rsidRDefault="0060216A" w:rsidP="0060216A">
            <w:pPr>
              <w:jc w:val="center"/>
            </w:pPr>
          </w:p>
        </w:tc>
        <w:tc>
          <w:tcPr>
            <w:tcW w:w="8730" w:type="dxa"/>
          </w:tcPr>
          <w:p w14:paraId="5BB4681F" w14:textId="77777777" w:rsidR="00CD5B24" w:rsidRDefault="00CD5B24" w:rsidP="004148D2"/>
          <w:p w14:paraId="330B4E4C" w14:textId="77777777" w:rsidR="00CD5B24" w:rsidRDefault="00CD5B24" w:rsidP="004148D2"/>
          <w:p w14:paraId="33FE0293" w14:textId="77777777" w:rsidR="00CD5B24" w:rsidRDefault="00CD5B24" w:rsidP="004148D2"/>
          <w:p w14:paraId="32B59459" w14:textId="77777777" w:rsidR="00CD5B24" w:rsidRDefault="00CD5B24" w:rsidP="004148D2"/>
          <w:p w14:paraId="6496B60C" w14:textId="77777777" w:rsidR="00CD5B24" w:rsidRDefault="00CD5B24" w:rsidP="004148D2"/>
        </w:tc>
      </w:tr>
      <w:tr w:rsidR="00CD5B24" w14:paraId="20638FEA" w14:textId="77777777" w:rsidTr="0060216A">
        <w:tc>
          <w:tcPr>
            <w:tcW w:w="2430" w:type="dxa"/>
          </w:tcPr>
          <w:p w14:paraId="0D8B5F2A" w14:textId="77777777" w:rsidR="00CD5B24" w:rsidRDefault="00CD5B24" w:rsidP="00FB1A6F"/>
          <w:p w14:paraId="55A57121" w14:textId="77777777" w:rsidR="00CD5B24" w:rsidRDefault="00CD5B24" w:rsidP="00390EE4">
            <w:pPr>
              <w:jc w:val="center"/>
            </w:pPr>
          </w:p>
          <w:p w14:paraId="1D90B22D" w14:textId="77777777" w:rsidR="00CD5B24" w:rsidRDefault="00CD5B24" w:rsidP="0060216A">
            <w:pPr>
              <w:jc w:val="center"/>
            </w:pPr>
            <w:r>
              <w:t>Scenario #3</w:t>
            </w:r>
          </w:p>
          <w:p w14:paraId="53102244" w14:textId="77777777" w:rsidR="0060216A" w:rsidRDefault="0060216A" w:rsidP="0060216A">
            <w:pPr>
              <w:jc w:val="center"/>
            </w:pPr>
          </w:p>
          <w:p w14:paraId="2CFF7434" w14:textId="77777777" w:rsidR="0060216A" w:rsidRDefault="0060216A" w:rsidP="0060216A">
            <w:pPr>
              <w:jc w:val="center"/>
            </w:pPr>
          </w:p>
          <w:p w14:paraId="25C33E6F" w14:textId="43BA71A9" w:rsidR="0060216A" w:rsidRDefault="0060216A" w:rsidP="0060216A">
            <w:pPr>
              <w:jc w:val="center"/>
            </w:pPr>
          </w:p>
        </w:tc>
        <w:tc>
          <w:tcPr>
            <w:tcW w:w="8730" w:type="dxa"/>
          </w:tcPr>
          <w:p w14:paraId="04BED34C" w14:textId="77777777" w:rsidR="00CD5B24" w:rsidRDefault="00CD5B24" w:rsidP="004148D2"/>
          <w:p w14:paraId="27BCBDF0" w14:textId="77777777" w:rsidR="00CD5B24" w:rsidRDefault="00CD5B24" w:rsidP="004148D2"/>
          <w:p w14:paraId="0ECF63ED" w14:textId="77777777" w:rsidR="00CD5B24" w:rsidRDefault="00CD5B24" w:rsidP="004148D2"/>
          <w:p w14:paraId="4539365E" w14:textId="77777777" w:rsidR="00CD5B24" w:rsidRDefault="00CD5B24" w:rsidP="004148D2"/>
          <w:p w14:paraId="5DBC6B0C" w14:textId="77777777" w:rsidR="00CD5B24" w:rsidRDefault="00CD5B24" w:rsidP="004148D2"/>
        </w:tc>
      </w:tr>
      <w:tr w:rsidR="00CD5B24" w14:paraId="57E3E01A" w14:textId="77777777" w:rsidTr="0060216A">
        <w:trPr>
          <w:trHeight w:val="260"/>
        </w:trPr>
        <w:tc>
          <w:tcPr>
            <w:tcW w:w="2430" w:type="dxa"/>
          </w:tcPr>
          <w:p w14:paraId="12DC53E9" w14:textId="77777777" w:rsidR="00CD5B24" w:rsidRDefault="00CD5B24" w:rsidP="00390EE4">
            <w:pPr>
              <w:jc w:val="center"/>
            </w:pPr>
          </w:p>
          <w:p w14:paraId="4F44EA44" w14:textId="77777777" w:rsidR="00CD5B24" w:rsidRDefault="00CD5B24" w:rsidP="00390EE4">
            <w:pPr>
              <w:jc w:val="center"/>
            </w:pPr>
          </w:p>
          <w:p w14:paraId="50C974AA" w14:textId="2D9E367F" w:rsidR="00CD5B24" w:rsidRDefault="00CD5B24" w:rsidP="00390EE4">
            <w:pPr>
              <w:jc w:val="center"/>
            </w:pPr>
            <w:r>
              <w:t xml:space="preserve">Scenario #4 </w:t>
            </w:r>
          </w:p>
          <w:p w14:paraId="79C69028" w14:textId="77777777" w:rsidR="0060216A" w:rsidRDefault="0060216A" w:rsidP="0060216A"/>
          <w:p w14:paraId="3FCEFE5E" w14:textId="77777777" w:rsidR="00CD5B24" w:rsidRDefault="00CD5B24" w:rsidP="00390EE4">
            <w:pPr>
              <w:jc w:val="center"/>
            </w:pPr>
          </w:p>
          <w:p w14:paraId="2694D4B5" w14:textId="582AA16B" w:rsidR="00CD5B24" w:rsidRDefault="00CD5B24" w:rsidP="00390EE4">
            <w:pPr>
              <w:jc w:val="center"/>
            </w:pPr>
          </w:p>
        </w:tc>
        <w:tc>
          <w:tcPr>
            <w:tcW w:w="8730" w:type="dxa"/>
          </w:tcPr>
          <w:p w14:paraId="3CD87A98" w14:textId="77777777" w:rsidR="00CD5B24" w:rsidRDefault="00CD5B24" w:rsidP="004148D2"/>
        </w:tc>
      </w:tr>
      <w:tr w:rsidR="00CD5B24" w14:paraId="2B1F3C67" w14:textId="77777777" w:rsidTr="0060216A">
        <w:trPr>
          <w:trHeight w:val="260"/>
        </w:trPr>
        <w:tc>
          <w:tcPr>
            <w:tcW w:w="2430" w:type="dxa"/>
          </w:tcPr>
          <w:p w14:paraId="4BBD41D0" w14:textId="77777777" w:rsidR="00CD5B24" w:rsidRDefault="00CD5B24" w:rsidP="002F0FD5"/>
          <w:p w14:paraId="21DC18E8" w14:textId="77777777" w:rsidR="00CD5B24" w:rsidRDefault="00CD5B24" w:rsidP="002F0FD5"/>
          <w:p w14:paraId="685D15C8" w14:textId="56198421" w:rsidR="00CD5B24" w:rsidRDefault="00CD5B24" w:rsidP="001A389F">
            <w:pPr>
              <w:jc w:val="center"/>
            </w:pPr>
            <w:r>
              <w:t>Scenario #5</w:t>
            </w:r>
          </w:p>
          <w:p w14:paraId="137C94A3" w14:textId="77777777" w:rsidR="0060216A" w:rsidRDefault="0060216A" w:rsidP="001A389F">
            <w:pPr>
              <w:jc w:val="center"/>
            </w:pPr>
          </w:p>
          <w:p w14:paraId="519544B1" w14:textId="77777777" w:rsidR="00CD5B24" w:rsidRDefault="00CD5B24" w:rsidP="002F0FD5"/>
          <w:p w14:paraId="1AD7A49E" w14:textId="77777777" w:rsidR="0060216A" w:rsidRDefault="0060216A" w:rsidP="002F0FD5"/>
        </w:tc>
        <w:tc>
          <w:tcPr>
            <w:tcW w:w="8730" w:type="dxa"/>
          </w:tcPr>
          <w:p w14:paraId="003FD01B" w14:textId="77777777" w:rsidR="00CD5B24" w:rsidRDefault="00CD5B24" w:rsidP="004148D2"/>
        </w:tc>
      </w:tr>
    </w:tbl>
    <w:p w14:paraId="77F1935A" w14:textId="09AED85D" w:rsidR="002E2173" w:rsidRPr="0024025C" w:rsidRDefault="002E2173" w:rsidP="00713ABD">
      <w:pPr>
        <w:jc w:val="center"/>
        <w:rPr>
          <w:b/>
          <w:sz w:val="22"/>
          <w:szCs w:val="22"/>
          <w:u w:val="single"/>
        </w:rPr>
      </w:pPr>
      <w:r w:rsidRPr="0024025C">
        <w:rPr>
          <w:b/>
          <w:sz w:val="22"/>
          <w:szCs w:val="22"/>
          <w:u w:val="single"/>
        </w:rPr>
        <w:lastRenderedPageBreak/>
        <w:t>ANSWER KEY</w:t>
      </w:r>
    </w:p>
    <w:p w14:paraId="594E220B" w14:textId="05B12553" w:rsidR="00D14BFA" w:rsidRPr="0024025C" w:rsidRDefault="00D14BFA" w:rsidP="00D14BFA">
      <w:pPr>
        <w:jc w:val="center"/>
        <w:rPr>
          <w:b/>
          <w:sz w:val="22"/>
          <w:szCs w:val="22"/>
        </w:rPr>
      </w:pPr>
      <w:r w:rsidRPr="0024025C">
        <w:rPr>
          <w:b/>
          <w:sz w:val="22"/>
          <w:szCs w:val="22"/>
        </w:rPr>
        <w:t xml:space="preserve">Freedom of Religion </w:t>
      </w:r>
      <w:r w:rsidR="002E2173" w:rsidRPr="0024025C">
        <w:rPr>
          <w:b/>
          <w:sz w:val="22"/>
          <w:szCs w:val="22"/>
        </w:rPr>
        <w:t>Scenarios</w:t>
      </w:r>
    </w:p>
    <w:p w14:paraId="4613467F" w14:textId="77777777" w:rsidR="00D14BFA" w:rsidRPr="0024025C" w:rsidRDefault="00D14BFA" w:rsidP="00D14BFA">
      <w:pPr>
        <w:rPr>
          <w:sz w:val="22"/>
          <w:szCs w:val="22"/>
        </w:rPr>
      </w:pPr>
    </w:p>
    <w:p w14:paraId="6C843DB1" w14:textId="37302B49" w:rsidR="00D14BFA" w:rsidRPr="0024025C" w:rsidRDefault="00AC5E57" w:rsidP="00D14BFA">
      <w:pPr>
        <w:rPr>
          <w:b/>
          <w:sz w:val="22"/>
          <w:szCs w:val="22"/>
        </w:rPr>
      </w:pPr>
      <w:r w:rsidRPr="0024025C">
        <w:rPr>
          <w:rFonts w:ascii="Arial" w:hAnsi="Arial" w:cs="Arial"/>
          <w:noProof/>
          <w:color w:val="004A84"/>
          <w:sz w:val="22"/>
          <w:szCs w:val="22"/>
          <w:bdr w:val="none" w:sz="0" w:space="0" w:color="auto" w:frame="1"/>
        </w:rPr>
        <w:drawing>
          <wp:inline distT="0" distB="0" distL="0" distR="0" wp14:anchorId="432B01E5" wp14:editId="63F488C7">
            <wp:extent cx="417246" cy="314325"/>
            <wp:effectExtent l="0" t="0" r="1905" b="0"/>
            <wp:docPr id="6" name="Picture 6"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rsidRPr="0024025C">
        <w:rPr>
          <w:b/>
          <w:sz w:val="22"/>
          <w:szCs w:val="22"/>
        </w:rPr>
        <w:t xml:space="preserve"> </w:t>
      </w:r>
      <w:r w:rsidR="00D14BFA" w:rsidRPr="0024025C">
        <w:rPr>
          <w:b/>
          <w:sz w:val="22"/>
          <w:szCs w:val="22"/>
        </w:rPr>
        <w:t>Scenario #1</w:t>
      </w:r>
    </w:p>
    <w:p w14:paraId="2B2BFCFE" w14:textId="577A727A" w:rsidR="00D14BFA" w:rsidRPr="0024025C" w:rsidRDefault="002E2173" w:rsidP="00D14BFA">
      <w:pPr>
        <w:rPr>
          <w:b/>
          <w:sz w:val="22"/>
          <w:szCs w:val="22"/>
        </w:rPr>
      </w:pPr>
      <w:r w:rsidRPr="0024025C">
        <w:rPr>
          <w:b/>
          <w:sz w:val="22"/>
          <w:szCs w:val="22"/>
        </w:rPr>
        <w:t>Sherbert v. Verner, 374 U.S. 398 (1963)</w:t>
      </w:r>
    </w:p>
    <w:p w14:paraId="519569C0" w14:textId="77777777" w:rsidR="00D14BFA" w:rsidRPr="0024025C" w:rsidRDefault="00D14BFA" w:rsidP="00D14BFA">
      <w:pPr>
        <w:rPr>
          <w:sz w:val="22"/>
          <w:szCs w:val="22"/>
        </w:rPr>
      </w:pPr>
    </w:p>
    <w:p w14:paraId="6C06BD8B" w14:textId="345B059B" w:rsidR="00D14BFA" w:rsidRDefault="00F1197A" w:rsidP="00D14BFA">
      <w:pPr>
        <w:rPr>
          <w:sz w:val="22"/>
          <w:szCs w:val="22"/>
        </w:rPr>
      </w:pPr>
      <w:r w:rsidRPr="0024025C">
        <w:rPr>
          <w:sz w:val="22"/>
          <w:szCs w:val="22"/>
        </w:rPr>
        <w:t xml:space="preserve">The Supreme Court voted 7-2 declaring that the woman’s right to free exercise had been violated and that she has a right to refuse to work on her Sabbath.  </w:t>
      </w:r>
      <w:r w:rsidR="0024025C" w:rsidRPr="0024025C">
        <w:rPr>
          <w:sz w:val="22"/>
          <w:szCs w:val="22"/>
        </w:rPr>
        <w:t xml:space="preserve">The decision subsequently created another test, known as the </w:t>
      </w:r>
      <w:r w:rsidR="0024025C" w:rsidRPr="0024025C">
        <w:rPr>
          <w:i/>
          <w:sz w:val="22"/>
          <w:szCs w:val="22"/>
        </w:rPr>
        <w:t>Sherbert Test</w:t>
      </w:r>
      <w:r w:rsidR="0024025C" w:rsidRPr="0024025C">
        <w:rPr>
          <w:sz w:val="22"/>
          <w:szCs w:val="22"/>
        </w:rPr>
        <w:t xml:space="preserve">, which determines if an individual’s right to free exercise has been violated.  </w:t>
      </w:r>
    </w:p>
    <w:p w14:paraId="2A14CCC0" w14:textId="77777777" w:rsidR="0024025C" w:rsidRPr="0024025C" w:rsidRDefault="0024025C" w:rsidP="00D14BFA">
      <w:pPr>
        <w:rPr>
          <w:sz w:val="22"/>
          <w:szCs w:val="22"/>
        </w:rPr>
      </w:pPr>
    </w:p>
    <w:p w14:paraId="481680B6" w14:textId="54F350B3" w:rsidR="00D14BFA" w:rsidRPr="0024025C" w:rsidRDefault="00D14BFA" w:rsidP="00D14BFA">
      <w:pPr>
        <w:rPr>
          <w:sz w:val="22"/>
          <w:szCs w:val="22"/>
        </w:rPr>
      </w:pPr>
      <w:r w:rsidRPr="0024025C">
        <w:rPr>
          <w:sz w:val="22"/>
          <w:szCs w:val="22"/>
        </w:rPr>
        <w:t>------------------------------------------------------------------------------------------------------------</w:t>
      </w:r>
    </w:p>
    <w:p w14:paraId="2254977E" w14:textId="4C12618D" w:rsidR="00D14BFA" w:rsidRPr="0024025C" w:rsidRDefault="00AC5E57" w:rsidP="00D14BFA">
      <w:pPr>
        <w:rPr>
          <w:sz w:val="22"/>
          <w:szCs w:val="22"/>
        </w:rPr>
      </w:pPr>
      <w:r w:rsidRPr="0024025C">
        <w:rPr>
          <w:rFonts w:ascii="Arial" w:hAnsi="Arial" w:cs="Arial"/>
          <w:noProof/>
          <w:color w:val="004A84"/>
          <w:sz w:val="22"/>
          <w:szCs w:val="22"/>
          <w:bdr w:val="none" w:sz="0" w:space="0" w:color="auto" w:frame="1"/>
        </w:rPr>
        <w:drawing>
          <wp:inline distT="0" distB="0" distL="0" distR="0" wp14:anchorId="73CD45C8" wp14:editId="24FAFEEC">
            <wp:extent cx="417246" cy="314325"/>
            <wp:effectExtent l="0" t="0" r="1905" b="0"/>
            <wp:docPr id="7" name="Picture 7"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rsidRPr="0024025C">
        <w:rPr>
          <w:sz w:val="22"/>
          <w:szCs w:val="22"/>
        </w:rPr>
        <w:t xml:space="preserve"> </w:t>
      </w:r>
      <w:r w:rsidR="00D14BFA" w:rsidRPr="0024025C">
        <w:rPr>
          <w:b/>
          <w:sz w:val="22"/>
          <w:szCs w:val="22"/>
        </w:rPr>
        <w:t>Scenario #2</w:t>
      </w:r>
    </w:p>
    <w:p w14:paraId="438E6E8B" w14:textId="27DB2F13" w:rsidR="00D14BFA" w:rsidRPr="0024025C" w:rsidRDefault="002E2173" w:rsidP="00D14BFA">
      <w:pPr>
        <w:rPr>
          <w:b/>
          <w:sz w:val="22"/>
          <w:szCs w:val="22"/>
        </w:rPr>
      </w:pPr>
      <w:r w:rsidRPr="0024025C">
        <w:rPr>
          <w:b/>
          <w:sz w:val="22"/>
          <w:szCs w:val="22"/>
        </w:rPr>
        <w:t>Engel v. Vitale, 370 U.S. 421 (1962)</w:t>
      </w:r>
    </w:p>
    <w:p w14:paraId="1EA9A6A6" w14:textId="77777777" w:rsidR="002E2173" w:rsidRPr="0024025C" w:rsidRDefault="002E2173" w:rsidP="00D14BFA">
      <w:pPr>
        <w:rPr>
          <w:sz w:val="22"/>
          <w:szCs w:val="22"/>
        </w:rPr>
      </w:pPr>
    </w:p>
    <w:p w14:paraId="4A33A575" w14:textId="1AFAAE1F" w:rsidR="00D14BFA" w:rsidRDefault="00A15842" w:rsidP="00D14BFA">
      <w:pPr>
        <w:rPr>
          <w:sz w:val="22"/>
          <w:szCs w:val="22"/>
        </w:rPr>
      </w:pPr>
      <w:r w:rsidRPr="0024025C">
        <w:rPr>
          <w:sz w:val="22"/>
          <w:szCs w:val="22"/>
        </w:rPr>
        <w:t xml:space="preserve">The Supreme Court voted 6-1 to declare the law unconstitutional, with two justices unable to participate in proceedings.  The Court argued that, with prior precedents, it was a violation of the Establishment clause and the separation of church and state must be maintained.  </w:t>
      </w:r>
    </w:p>
    <w:p w14:paraId="7AFFA6E8" w14:textId="77777777" w:rsidR="0024025C" w:rsidRPr="0024025C" w:rsidRDefault="0024025C" w:rsidP="00D14BFA">
      <w:pPr>
        <w:rPr>
          <w:sz w:val="22"/>
          <w:szCs w:val="22"/>
        </w:rPr>
      </w:pPr>
    </w:p>
    <w:p w14:paraId="78FE46C1" w14:textId="156BB59A" w:rsidR="00D14BFA" w:rsidRPr="0024025C" w:rsidRDefault="00D14BFA" w:rsidP="00D14BFA">
      <w:pPr>
        <w:rPr>
          <w:sz w:val="22"/>
          <w:szCs w:val="22"/>
        </w:rPr>
      </w:pPr>
      <w:r w:rsidRPr="0024025C">
        <w:rPr>
          <w:sz w:val="22"/>
          <w:szCs w:val="22"/>
        </w:rPr>
        <w:t>------------------------------------------------------------------------------------------------------------</w:t>
      </w:r>
    </w:p>
    <w:p w14:paraId="4DED5452" w14:textId="40DB3493" w:rsidR="00D14BFA" w:rsidRPr="0024025C" w:rsidRDefault="00AC5E57" w:rsidP="00D14BFA">
      <w:pPr>
        <w:rPr>
          <w:sz w:val="22"/>
          <w:szCs w:val="22"/>
        </w:rPr>
      </w:pPr>
      <w:r w:rsidRPr="0024025C">
        <w:rPr>
          <w:rFonts w:ascii="Arial" w:hAnsi="Arial" w:cs="Arial"/>
          <w:noProof/>
          <w:color w:val="004A84"/>
          <w:sz w:val="22"/>
          <w:szCs w:val="22"/>
          <w:bdr w:val="none" w:sz="0" w:space="0" w:color="auto" w:frame="1"/>
        </w:rPr>
        <w:drawing>
          <wp:inline distT="0" distB="0" distL="0" distR="0" wp14:anchorId="2BDCF92F" wp14:editId="57505BB6">
            <wp:extent cx="417246" cy="314325"/>
            <wp:effectExtent l="0" t="0" r="1905" b="0"/>
            <wp:docPr id="8" name="Picture 8"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rsidRPr="0024025C">
        <w:rPr>
          <w:sz w:val="22"/>
          <w:szCs w:val="22"/>
        </w:rPr>
        <w:t xml:space="preserve"> </w:t>
      </w:r>
      <w:r w:rsidR="00D14BFA" w:rsidRPr="0024025C">
        <w:rPr>
          <w:b/>
          <w:sz w:val="22"/>
          <w:szCs w:val="22"/>
        </w:rPr>
        <w:t>Scenario #3</w:t>
      </w:r>
    </w:p>
    <w:p w14:paraId="6D8FA0D9" w14:textId="096E1E52" w:rsidR="00D14BFA" w:rsidRPr="0024025C" w:rsidRDefault="0050548F" w:rsidP="00D14BFA">
      <w:pPr>
        <w:rPr>
          <w:b/>
          <w:sz w:val="22"/>
          <w:szCs w:val="22"/>
        </w:rPr>
      </w:pPr>
      <w:r w:rsidRPr="0024025C">
        <w:rPr>
          <w:b/>
          <w:sz w:val="22"/>
          <w:szCs w:val="22"/>
        </w:rPr>
        <w:t>Lynch v. Donnelly, 465 U.S. 668 (1984)</w:t>
      </w:r>
    </w:p>
    <w:p w14:paraId="6D84AA91" w14:textId="77777777" w:rsidR="00964CE0" w:rsidRPr="0024025C" w:rsidRDefault="00964CE0" w:rsidP="00D14BFA">
      <w:pPr>
        <w:rPr>
          <w:b/>
          <w:sz w:val="22"/>
          <w:szCs w:val="22"/>
        </w:rPr>
      </w:pPr>
    </w:p>
    <w:p w14:paraId="6B61E0B4" w14:textId="1DF69A0E" w:rsidR="00D14BFA" w:rsidRPr="0024025C" w:rsidRDefault="00964CE0" w:rsidP="00D14BFA">
      <w:pPr>
        <w:rPr>
          <w:sz w:val="22"/>
          <w:szCs w:val="22"/>
        </w:rPr>
      </w:pPr>
      <w:r w:rsidRPr="0024025C">
        <w:rPr>
          <w:sz w:val="22"/>
          <w:szCs w:val="22"/>
        </w:rPr>
        <w:t xml:space="preserve">The Supreme Court voted 5-4 in favor of the city of Pawtucket, Rhode Island, allowing the nativity scene to be maintained.  The Court argued that the display celebrated the holiday and foundations and did not promote the religion.  </w:t>
      </w:r>
    </w:p>
    <w:p w14:paraId="1880C6CE" w14:textId="77777777" w:rsidR="00F1197A" w:rsidRPr="0024025C" w:rsidRDefault="00F1197A" w:rsidP="00D14BFA">
      <w:pPr>
        <w:rPr>
          <w:sz w:val="22"/>
          <w:szCs w:val="22"/>
        </w:rPr>
      </w:pPr>
    </w:p>
    <w:p w14:paraId="17B5C68A" w14:textId="60228EDD" w:rsidR="00D14BFA" w:rsidRPr="0024025C" w:rsidRDefault="00D14BFA" w:rsidP="00D14BFA">
      <w:pPr>
        <w:rPr>
          <w:sz w:val="22"/>
          <w:szCs w:val="22"/>
        </w:rPr>
      </w:pPr>
      <w:r w:rsidRPr="0024025C">
        <w:rPr>
          <w:sz w:val="22"/>
          <w:szCs w:val="22"/>
        </w:rPr>
        <w:t>------------------------------------------------------------------------------------------------------------</w:t>
      </w:r>
    </w:p>
    <w:p w14:paraId="338E65DD" w14:textId="05695065" w:rsidR="00D14BFA" w:rsidRPr="0024025C" w:rsidRDefault="00AC5E57" w:rsidP="00D14BFA">
      <w:pPr>
        <w:rPr>
          <w:sz w:val="22"/>
          <w:szCs w:val="22"/>
        </w:rPr>
      </w:pPr>
      <w:r w:rsidRPr="0024025C">
        <w:rPr>
          <w:rFonts w:ascii="Arial" w:hAnsi="Arial" w:cs="Arial"/>
          <w:noProof/>
          <w:color w:val="004A84"/>
          <w:sz w:val="22"/>
          <w:szCs w:val="22"/>
          <w:bdr w:val="none" w:sz="0" w:space="0" w:color="auto" w:frame="1"/>
        </w:rPr>
        <w:drawing>
          <wp:inline distT="0" distB="0" distL="0" distR="0" wp14:anchorId="3403520A" wp14:editId="7E6F0D97">
            <wp:extent cx="417246" cy="314325"/>
            <wp:effectExtent l="0" t="0" r="1905" b="0"/>
            <wp:docPr id="9" name="Picture 9"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rsidRPr="0024025C">
        <w:rPr>
          <w:sz w:val="22"/>
          <w:szCs w:val="22"/>
        </w:rPr>
        <w:t xml:space="preserve"> </w:t>
      </w:r>
      <w:r w:rsidR="00D14BFA" w:rsidRPr="0024025C">
        <w:rPr>
          <w:b/>
          <w:sz w:val="22"/>
          <w:szCs w:val="22"/>
        </w:rPr>
        <w:t>Scenario #4</w:t>
      </w:r>
    </w:p>
    <w:p w14:paraId="0BAAAD65" w14:textId="21EB4C19" w:rsidR="00D14BFA" w:rsidRPr="0024025C" w:rsidRDefault="00AC5E57" w:rsidP="00AC5E57">
      <w:pPr>
        <w:rPr>
          <w:b/>
          <w:sz w:val="22"/>
          <w:szCs w:val="22"/>
        </w:rPr>
      </w:pPr>
      <w:r w:rsidRPr="0024025C">
        <w:rPr>
          <w:b/>
          <w:sz w:val="22"/>
          <w:szCs w:val="22"/>
        </w:rPr>
        <w:t xml:space="preserve">Wisconsin v. Yoder, 406 U.S. 205 (1972) </w:t>
      </w:r>
    </w:p>
    <w:p w14:paraId="3646966C" w14:textId="77777777" w:rsidR="00FD66CB" w:rsidRPr="0024025C" w:rsidRDefault="00FD66CB" w:rsidP="00AC5E57">
      <w:pPr>
        <w:rPr>
          <w:b/>
          <w:sz w:val="22"/>
          <w:szCs w:val="22"/>
        </w:rPr>
      </w:pPr>
    </w:p>
    <w:p w14:paraId="4D0570AB" w14:textId="5C0B85D0" w:rsidR="00FD66CB" w:rsidRPr="0024025C" w:rsidRDefault="00FD66CB" w:rsidP="00AC5E57">
      <w:pPr>
        <w:rPr>
          <w:sz w:val="22"/>
          <w:szCs w:val="22"/>
        </w:rPr>
      </w:pPr>
      <w:r w:rsidRPr="0024025C">
        <w:rPr>
          <w:sz w:val="22"/>
          <w:szCs w:val="22"/>
        </w:rPr>
        <w:t xml:space="preserve">The Supreme Court concurred with a lower court by voting 6.5 to 1.5, with two justices abstaining from the case.  The Court argued that the Wisconsin law violated the involved families’ rights to their First Amendment right of free exercise of religion.  </w:t>
      </w:r>
    </w:p>
    <w:p w14:paraId="2DCAAB6C" w14:textId="77777777" w:rsidR="00D14BFA" w:rsidRPr="0024025C" w:rsidRDefault="00D14BFA" w:rsidP="00D14BFA">
      <w:pPr>
        <w:rPr>
          <w:sz w:val="22"/>
          <w:szCs w:val="22"/>
        </w:rPr>
      </w:pPr>
    </w:p>
    <w:p w14:paraId="5385954D" w14:textId="705D6FCF" w:rsidR="00D14BFA" w:rsidRPr="0024025C" w:rsidRDefault="00D14BFA" w:rsidP="00D14BFA">
      <w:pPr>
        <w:rPr>
          <w:sz w:val="22"/>
          <w:szCs w:val="22"/>
        </w:rPr>
      </w:pPr>
      <w:r w:rsidRPr="0024025C">
        <w:rPr>
          <w:sz w:val="22"/>
          <w:szCs w:val="22"/>
        </w:rPr>
        <w:t>------------------------------------------------------------------------------------------------------------</w:t>
      </w:r>
    </w:p>
    <w:p w14:paraId="46BD8D81" w14:textId="4F7EF7C0" w:rsidR="00D14BFA" w:rsidRPr="0024025C" w:rsidRDefault="00AC5E57" w:rsidP="00D14BFA">
      <w:pPr>
        <w:rPr>
          <w:sz w:val="22"/>
          <w:szCs w:val="22"/>
        </w:rPr>
      </w:pPr>
      <w:r w:rsidRPr="0024025C">
        <w:rPr>
          <w:rFonts w:ascii="Arial" w:hAnsi="Arial" w:cs="Arial"/>
          <w:noProof/>
          <w:color w:val="004A84"/>
          <w:sz w:val="22"/>
          <w:szCs w:val="22"/>
          <w:bdr w:val="none" w:sz="0" w:space="0" w:color="auto" w:frame="1"/>
        </w:rPr>
        <w:drawing>
          <wp:inline distT="0" distB="0" distL="0" distR="0" wp14:anchorId="47C4B97F" wp14:editId="610D1F84">
            <wp:extent cx="417246" cy="314325"/>
            <wp:effectExtent l="0" t="0" r="1905" b="0"/>
            <wp:docPr id="10" name="Picture 10" descr="Lemon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46" cy="314325"/>
                    </a:xfrm>
                    <a:prstGeom prst="rect">
                      <a:avLst/>
                    </a:prstGeom>
                    <a:noFill/>
                    <a:ln>
                      <a:noFill/>
                    </a:ln>
                  </pic:spPr>
                </pic:pic>
              </a:graphicData>
            </a:graphic>
          </wp:inline>
        </w:drawing>
      </w:r>
      <w:r w:rsidRPr="0024025C">
        <w:rPr>
          <w:sz w:val="22"/>
          <w:szCs w:val="22"/>
        </w:rPr>
        <w:t xml:space="preserve"> </w:t>
      </w:r>
      <w:r w:rsidR="00D14BFA" w:rsidRPr="0024025C">
        <w:rPr>
          <w:b/>
          <w:sz w:val="22"/>
          <w:szCs w:val="22"/>
        </w:rPr>
        <w:t>Scenario #5</w:t>
      </w:r>
      <w:r w:rsidR="00D14BFA" w:rsidRPr="0024025C">
        <w:rPr>
          <w:sz w:val="22"/>
          <w:szCs w:val="22"/>
        </w:rPr>
        <w:t xml:space="preserve"> </w:t>
      </w:r>
    </w:p>
    <w:p w14:paraId="7DA7AB41" w14:textId="46943046" w:rsidR="00D14BFA" w:rsidRPr="0024025C" w:rsidRDefault="00723271" w:rsidP="00D14BFA">
      <w:pPr>
        <w:rPr>
          <w:b/>
          <w:sz w:val="22"/>
          <w:szCs w:val="22"/>
        </w:rPr>
      </w:pPr>
      <w:r w:rsidRPr="0024025C">
        <w:rPr>
          <w:b/>
          <w:sz w:val="22"/>
          <w:szCs w:val="22"/>
        </w:rPr>
        <w:t>Larkin v. Grendel's Den, Inc., 459 U.S. 116 (1982)</w:t>
      </w:r>
    </w:p>
    <w:p w14:paraId="2461E343" w14:textId="77777777" w:rsidR="00D14BFA" w:rsidRPr="0024025C" w:rsidRDefault="00D14BFA" w:rsidP="00D14BFA">
      <w:pPr>
        <w:rPr>
          <w:sz w:val="22"/>
          <w:szCs w:val="22"/>
        </w:rPr>
      </w:pPr>
    </w:p>
    <w:p w14:paraId="087E8EDC" w14:textId="57972390" w:rsidR="00FB1A6F" w:rsidRPr="0024025C" w:rsidRDefault="003D7EBF">
      <w:pPr>
        <w:rPr>
          <w:sz w:val="22"/>
          <w:szCs w:val="22"/>
        </w:rPr>
      </w:pPr>
      <w:r w:rsidRPr="0024025C">
        <w:rPr>
          <w:sz w:val="22"/>
          <w:szCs w:val="22"/>
        </w:rPr>
        <w:t xml:space="preserve">The Supreme Court ruled 8-1 in favor of Grendel’s Den, Inc., arguing that the new Massachusetts’s law was unconstitutional since it forfeited government authority to religious decision-makers.  </w:t>
      </w:r>
    </w:p>
    <w:sectPr w:rsidR="00FB1A6F" w:rsidRPr="0024025C" w:rsidSect="004148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2E23" w14:textId="77777777" w:rsidR="00A07279" w:rsidRDefault="00A07279" w:rsidP="004148D2">
      <w:r>
        <w:separator/>
      </w:r>
    </w:p>
  </w:endnote>
  <w:endnote w:type="continuationSeparator" w:id="0">
    <w:p w14:paraId="1A570E3E" w14:textId="77777777" w:rsidR="00A07279" w:rsidRDefault="00A07279" w:rsidP="0041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11EA9" w14:textId="77777777" w:rsidR="00A07279" w:rsidRDefault="00A07279" w:rsidP="004148D2">
      <w:r>
        <w:separator/>
      </w:r>
    </w:p>
  </w:footnote>
  <w:footnote w:type="continuationSeparator" w:id="0">
    <w:p w14:paraId="79419665" w14:textId="77777777" w:rsidR="00A07279" w:rsidRDefault="00A07279" w:rsidP="0041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A1"/>
    <w:multiLevelType w:val="hybridMultilevel"/>
    <w:tmpl w:val="44EEC9C6"/>
    <w:lvl w:ilvl="0" w:tplc="E0C47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C94"/>
    <w:multiLevelType w:val="hybridMultilevel"/>
    <w:tmpl w:val="B0C4BB80"/>
    <w:lvl w:ilvl="0" w:tplc="72F0E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07D86"/>
    <w:multiLevelType w:val="hybridMultilevel"/>
    <w:tmpl w:val="ABB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51490"/>
    <w:multiLevelType w:val="hybridMultilevel"/>
    <w:tmpl w:val="9382733C"/>
    <w:lvl w:ilvl="0" w:tplc="DB120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91DE4"/>
    <w:multiLevelType w:val="hybridMultilevel"/>
    <w:tmpl w:val="D51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D789C"/>
    <w:multiLevelType w:val="hybridMultilevel"/>
    <w:tmpl w:val="B4BACC30"/>
    <w:lvl w:ilvl="0" w:tplc="117C2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C7328"/>
    <w:multiLevelType w:val="hybridMultilevel"/>
    <w:tmpl w:val="677A1F26"/>
    <w:lvl w:ilvl="0" w:tplc="C7FA5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C598E"/>
    <w:multiLevelType w:val="hybridMultilevel"/>
    <w:tmpl w:val="697AC3F8"/>
    <w:lvl w:ilvl="0" w:tplc="2804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D6C24"/>
    <w:multiLevelType w:val="hybridMultilevel"/>
    <w:tmpl w:val="DD3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763BE"/>
    <w:multiLevelType w:val="hybridMultilevel"/>
    <w:tmpl w:val="174C439C"/>
    <w:lvl w:ilvl="0" w:tplc="310AB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33776"/>
    <w:multiLevelType w:val="hybridMultilevel"/>
    <w:tmpl w:val="EBE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87895"/>
    <w:multiLevelType w:val="hybridMultilevel"/>
    <w:tmpl w:val="19C86094"/>
    <w:lvl w:ilvl="0" w:tplc="C7FA56F8">
      <w:start w:val="1"/>
      <w:numFmt w:val="decimal"/>
      <w:lvlText w:val="%1.)"/>
      <w:lvlJc w:val="left"/>
      <w:pPr>
        <w:ind w:left="720" w:hanging="360"/>
      </w:pPr>
      <w:rPr>
        <w:rFonts w:hint="default"/>
      </w:rPr>
    </w:lvl>
    <w:lvl w:ilvl="1" w:tplc="92D2E97C">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20ED6"/>
    <w:multiLevelType w:val="hybridMultilevel"/>
    <w:tmpl w:val="84F8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F3D5E"/>
    <w:multiLevelType w:val="hybridMultilevel"/>
    <w:tmpl w:val="E1700C7E"/>
    <w:lvl w:ilvl="0" w:tplc="A53428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B2264"/>
    <w:multiLevelType w:val="hybridMultilevel"/>
    <w:tmpl w:val="208A9284"/>
    <w:lvl w:ilvl="0" w:tplc="591E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8"/>
  </w:num>
  <w:num w:numId="6">
    <w:abstractNumId w:val="7"/>
  </w:num>
  <w:num w:numId="7">
    <w:abstractNumId w:val="9"/>
  </w:num>
  <w:num w:numId="8">
    <w:abstractNumId w:val="14"/>
  </w:num>
  <w:num w:numId="9">
    <w:abstractNumId w:val="5"/>
  </w:num>
  <w:num w:numId="10">
    <w:abstractNumId w:val="12"/>
  </w:num>
  <w:num w:numId="11">
    <w:abstractNumId w:val="6"/>
  </w:num>
  <w:num w:numId="12">
    <w:abstractNumId w:val="3"/>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90"/>
    <w:rsid w:val="00006453"/>
    <w:rsid w:val="00040612"/>
    <w:rsid w:val="00041407"/>
    <w:rsid w:val="00041789"/>
    <w:rsid w:val="00043D31"/>
    <w:rsid w:val="00052564"/>
    <w:rsid w:val="00095319"/>
    <w:rsid w:val="000A2431"/>
    <w:rsid w:val="000A6AE8"/>
    <w:rsid w:val="000B0E76"/>
    <w:rsid w:val="000B5997"/>
    <w:rsid w:val="000D00D5"/>
    <w:rsid w:val="000E5632"/>
    <w:rsid w:val="000F1A97"/>
    <w:rsid w:val="000F1D07"/>
    <w:rsid w:val="000F243F"/>
    <w:rsid w:val="0010440E"/>
    <w:rsid w:val="001057E2"/>
    <w:rsid w:val="0016255A"/>
    <w:rsid w:val="00175852"/>
    <w:rsid w:val="0019487F"/>
    <w:rsid w:val="001A389F"/>
    <w:rsid w:val="001E45B1"/>
    <w:rsid w:val="002060FE"/>
    <w:rsid w:val="0022030A"/>
    <w:rsid w:val="00236149"/>
    <w:rsid w:val="0024025C"/>
    <w:rsid w:val="00277195"/>
    <w:rsid w:val="002E2173"/>
    <w:rsid w:val="002F0FD5"/>
    <w:rsid w:val="00332AA5"/>
    <w:rsid w:val="00343E75"/>
    <w:rsid w:val="00371F9F"/>
    <w:rsid w:val="00390EE4"/>
    <w:rsid w:val="003A3B18"/>
    <w:rsid w:val="003D7741"/>
    <w:rsid w:val="003D7EBF"/>
    <w:rsid w:val="003E2AAF"/>
    <w:rsid w:val="00402315"/>
    <w:rsid w:val="004148D2"/>
    <w:rsid w:val="00430867"/>
    <w:rsid w:val="0043515C"/>
    <w:rsid w:val="00437DAB"/>
    <w:rsid w:val="00463DFD"/>
    <w:rsid w:val="0046518D"/>
    <w:rsid w:val="004D669F"/>
    <w:rsid w:val="004F3F25"/>
    <w:rsid w:val="0050548F"/>
    <w:rsid w:val="00510130"/>
    <w:rsid w:val="005242A3"/>
    <w:rsid w:val="00581D06"/>
    <w:rsid w:val="005C215B"/>
    <w:rsid w:val="0060216A"/>
    <w:rsid w:val="006325E8"/>
    <w:rsid w:val="006375E1"/>
    <w:rsid w:val="00682612"/>
    <w:rsid w:val="00692C82"/>
    <w:rsid w:val="00693597"/>
    <w:rsid w:val="006F15E9"/>
    <w:rsid w:val="007116AC"/>
    <w:rsid w:val="0071195A"/>
    <w:rsid w:val="00713ABD"/>
    <w:rsid w:val="00713B0C"/>
    <w:rsid w:val="00715732"/>
    <w:rsid w:val="00723271"/>
    <w:rsid w:val="0072389B"/>
    <w:rsid w:val="00745342"/>
    <w:rsid w:val="00760526"/>
    <w:rsid w:val="00760A67"/>
    <w:rsid w:val="007700A8"/>
    <w:rsid w:val="00772C61"/>
    <w:rsid w:val="007944D4"/>
    <w:rsid w:val="007D03FD"/>
    <w:rsid w:val="00801390"/>
    <w:rsid w:val="00812F31"/>
    <w:rsid w:val="00873FB2"/>
    <w:rsid w:val="00875863"/>
    <w:rsid w:val="008B268B"/>
    <w:rsid w:val="008E39B0"/>
    <w:rsid w:val="008E765A"/>
    <w:rsid w:val="00907F70"/>
    <w:rsid w:val="0091159F"/>
    <w:rsid w:val="00915505"/>
    <w:rsid w:val="009276D0"/>
    <w:rsid w:val="00931298"/>
    <w:rsid w:val="00964CE0"/>
    <w:rsid w:val="009746B4"/>
    <w:rsid w:val="009855CF"/>
    <w:rsid w:val="0099427E"/>
    <w:rsid w:val="009B3569"/>
    <w:rsid w:val="009D1580"/>
    <w:rsid w:val="009D7EC8"/>
    <w:rsid w:val="009E3BF2"/>
    <w:rsid w:val="009E58A7"/>
    <w:rsid w:val="00A07279"/>
    <w:rsid w:val="00A15842"/>
    <w:rsid w:val="00A226CA"/>
    <w:rsid w:val="00A32E9B"/>
    <w:rsid w:val="00A7261B"/>
    <w:rsid w:val="00A74455"/>
    <w:rsid w:val="00A74966"/>
    <w:rsid w:val="00A90933"/>
    <w:rsid w:val="00A91396"/>
    <w:rsid w:val="00AA10AA"/>
    <w:rsid w:val="00AC5E57"/>
    <w:rsid w:val="00B20A43"/>
    <w:rsid w:val="00B305D1"/>
    <w:rsid w:val="00B55193"/>
    <w:rsid w:val="00B625F3"/>
    <w:rsid w:val="00B67189"/>
    <w:rsid w:val="00B83F96"/>
    <w:rsid w:val="00BB0B52"/>
    <w:rsid w:val="00BB48A5"/>
    <w:rsid w:val="00BB6BDF"/>
    <w:rsid w:val="00BC34FF"/>
    <w:rsid w:val="00BE471A"/>
    <w:rsid w:val="00BE5AF0"/>
    <w:rsid w:val="00C131E4"/>
    <w:rsid w:val="00C15FB2"/>
    <w:rsid w:val="00C35D62"/>
    <w:rsid w:val="00C43421"/>
    <w:rsid w:val="00C7386E"/>
    <w:rsid w:val="00C77112"/>
    <w:rsid w:val="00CB18D4"/>
    <w:rsid w:val="00CD5B24"/>
    <w:rsid w:val="00D00D59"/>
    <w:rsid w:val="00D14BFA"/>
    <w:rsid w:val="00D16526"/>
    <w:rsid w:val="00D812D7"/>
    <w:rsid w:val="00D83F72"/>
    <w:rsid w:val="00D865A4"/>
    <w:rsid w:val="00D95035"/>
    <w:rsid w:val="00E041D8"/>
    <w:rsid w:val="00E862AF"/>
    <w:rsid w:val="00EC7102"/>
    <w:rsid w:val="00F1197A"/>
    <w:rsid w:val="00F33D9C"/>
    <w:rsid w:val="00F5170A"/>
    <w:rsid w:val="00F9022E"/>
    <w:rsid w:val="00FA055C"/>
    <w:rsid w:val="00FA2F11"/>
    <w:rsid w:val="00FB1A6F"/>
    <w:rsid w:val="00FB33A7"/>
    <w:rsid w:val="00FD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76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90"/>
    <w:pPr>
      <w:ind w:left="720"/>
      <w:contextualSpacing/>
    </w:pPr>
  </w:style>
  <w:style w:type="table" w:styleId="TableGrid">
    <w:name w:val="Table Grid"/>
    <w:basedOn w:val="TableNormal"/>
    <w:uiPriority w:val="59"/>
    <w:rsid w:val="004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8D2"/>
    <w:pPr>
      <w:tabs>
        <w:tab w:val="center" w:pos="4320"/>
        <w:tab w:val="right" w:pos="8640"/>
      </w:tabs>
    </w:pPr>
  </w:style>
  <w:style w:type="character" w:customStyle="1" w:styleId="HeaderChar">
    <w:name w:val="Header Char"/>
    <w:basedOn w:val="DefaultParagraphFont"/>
    <w:link w:val="Header"/>
    <w:uiPriority w:val="99"/>
    <w:rsid w:val="004148D2"/>
  </w:style>
  <w:style w:type="paragraph" w:styleId="Footer">
    <w:name w:val="footer"/>
    <w:basedOn w:val="Normal"/>
    <w:link w:val="FooterChar"/>
    <w:uiPriority w:val="99"/>
    <w:unhideWhenUsed/>
    <w:rsid w:val="004148D2"/>
    <w:pPr>
      <w:tabs>
        <w:tab w:val="center" w:pos="4320"/>
        <w:tab w:val="right" w:pos="8640"/>
      </w:tabs>
    </w:pPr>
  </w:style>
  <w:style w:type="character" w:customStyle="1" w:styleId="FooterChar">
    <w:name w:val="Footer Char"/>
    <w:basedOn w:val="DefaultParagraphFont"/>
    <w:link w:val="Footer"/>
    <w:uiPriority w:val="99"/>
    <w:rsid w:val="004148D2"/>
  </w:style>
  <w:style w:type="paragraph" w:styleId="BalloonText">
    <w:name w:val="Balloon Text"/>
    <w:basedOn w:val="Normal"/>
    <w:link w:val="BalloonTextChar"/>
    <w:uiPriority w:val="99"/>
    <w:semiHidden/>
    <w:unhideWhenUsed/>
    <w:rsid w:val="00006453"/>
    <w:rPr>
      <w:rFonts w:ascii="Tahoma" w:hAnsi="Tahoma" w:cs="Tahoma"/>
      <w:sz w:val="16"/>
      <w:szCs w:val="16"/>
    </w:rPr>
  </w:style>
  <w:style w:type="character" w:customStyle="1" w:styleId="BalloonTextChar">
    <w:name w:val="Balloon Text Char"/>
    <w:basedOn w:val="DefaultParagraphFont"/>
    <w:link w:val="BalloonText"/>
    <w:uiPriority w:val="99"/>
    <w:semiHidden/>
    <w:rsid w:val="00006453"/>
    <w:rPr>
      <w:rFonts w:ascii="Tahoma" w:hAnsi="Tahoma" w:cs="Tahoma"/>
      <w:sz w:val="16"/>
      <w:szCs w:val="16"/>
    </w:rPr>
  </w:style>
  <w:style w:type="character" w:styleId="Hyperlink">
    <w:name w:val="Hyperlink"/>
    <w:basedOn w:val="DefaultParagraphFont"/>
    <w:uiPriority w:val="99"/>
    <w:unhideWhenUsed/>
    <w:rsid w:val="00A91396"/>
    <w:rPr>
      <w:color w:val="0000FF" w:themeColor="hyperlink"/>
      <w:u w:val="single"/>
    </w:rPr>
  </w:style>
  <w:style w:type="character" w:styleId="Emphasis">
    <w:name w:val="Emphasis"/>
    <w:basedOn w:val="DefaultParagraphFont"/>
    <w:uiPriority w:val="20"/>
    <w:qFormat/>
    <w:rsid w:val="00723271"/>
    <w:rPr>
      <w:b/>
      <w:bCs/>
      <w:i w:val="0"/>
      <w:iCs w:val="0"/>
    </w:rPr>
  </w:style>
  <w:style w:type="character" w:customStyle="1" w:styleId="st">
    <w:name w:val="st"/>
    <w:basedOn w:val="DefaultParagraphFont"/>
    <w:rsid w:val="0072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90"/>
    <w:pPr>
      <w:ind w:left="720"/>
      <w:contextualSpacing/>
    </w:pPr>
  </w:style>
  <w:style w:type="table" w:styleId="TableGrid">
    <w:name w:val="Table Grid"/>
    <w:basedOn w:val="TableNormal"/>
    <w:uiPriority w:val="59"/>
    <w:rsid w:val="00414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8D2"/>
    <w:pPr>
      <w:tabs>
        <w:tab w:val="center" w:pos="4320"/>
        <w:tab w:val="right" w:pos="8640"/>
      </w:tabs>
    </w:pPr>
  </w:style>
  <w:style w:type="character" w:customStyle="1" w:styleId="HeaderChar">
    <w:name w:val="Header Char"/>
    <w:basedOn w:val="DefaultParagraphFont"/>
    <w:link w:val="Header"/>
    <w:uiPriority w:val="99"/>
    <w:rsid w:val="004148D2"/>
  </w:style>
  <w:style w:type="paragraph" w:styleId="Footer">
    <w:name w:val="footer"/>
    <w:basedOn w:val="Normal"/>
    <w:link w:val="FooterChar"/>
    <w:uiPriority w:val="99"/>
    <w:unhideWhenUsed/>
    <w:rsid w:val="004148D2"/>
    <w:pPr>
      <w:tabs>
        <w:tab w:val="center" w:pos="4320"/>
        <w:tab w:val="right" w:pos="8640"/>
      </w:tabs>
    </w:pPr>
  </w:style>
  <w:style w:type="character" w:customStyle="1" w:styleId="FooterChar">
    <w:name w:val="Footer Char"/>
    <w:basedOn w:val="DefaultParagraphFont"/>
    <w:link w:val="Footer"/>
    <w:uiPriority w:val="99"/>
    <w:rsid w:val="004148D2"/>
  </w:style>
  <w:style w:type="paragraph" w:styleId="BalloonText">
    <w:name w:val="Balloon Text"/>
    <w:basedOn w:val="Normal"/>
    <w:link w:val="BalloonTextChar"/>
    <w:uiPriority w:val="99"/>
    <w:semiHidden/>
    <w:unhideWhenUsed/>
    <w:rsid w:val="00006453"/>
    <w:rPr>
      <w:rFonts w:ascii="Tahoma" w:hAnsi="Tahoma" w:cs="Tahoma"/>
      <w:sz w:val="16"/>
      <w:szCs w:val="16"/>
    </w:rPr>
  </w:style>
  <w:style w:type="character" w:customStyle="1" w:styleId="BalloonTextChar">
    <w:name w:val="Balloon Text Char"/>
    <w:basedOn w:val="DefaultParagraphFont"/>
    <w:link w:val="BalloonText"/>
    <w:uiPriority w:val="99"/>
    <w:semiHidden/>
    <w:rsid w:val="00006453"/>
    <w:rPr>
      <w:rFonts w:ascii="Tahoma" w:hAnsi="Tahoma" w:cs="Tahoma"/>
      <w:sz w:val="16"/>
      <w:szCs w:val="16"/>
    </w:rPr>
  </w:style>
  <w:style w:type="character" w:styleId="Hyperlink">
    <w:name w:val="Hyperlink"/>
    <w:basedOn w:val="DefaultParagraphFont"/>
    <w:uiPriority w:val="99"/>
    <w:unhideWhenUsed/>
    <w:rsid w:val="00A91396"/>
    <w:rPr>
      <w:color w:val="0000FF" w:themeColor="hyperlink"/>
      <w:u w:val="single"/>
    </w:rPr>
  </w:style>
  <w:style w:type="character" w:styleId="Emphasis">
    <w:name w:val="Emphasis"/>
    <w:basedOn w:val="DefaultParagraphFont"/>
    <w:uiPriority w:val="20"/>
    <w:qFormat/>
    <w:rsid w:val="00723271"/>
    <w:rPr>
      <w:b/>
      <w:bCs/>
      <w:i w:val="0"/>
      <w:iCs w:val="0"/>
    </w:rPr>
  </w:style>
  <w:style w:type="character" w:customStyle="1" w:styleId="st">
    <w:name w:val="st"/>
    <w:basedOn w:val="DefaultParagraphFont"/>
    <w:rsid w:val="0072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dit(3991)" TargetMode="External"/><Relationship Id="rId5" Type="http://schemas.openxmlformats.org/officeDocument/2006/relationships/settings" Target="settings.xml"/><Relationship Id="rId10" Type="http://schemas.openxmlformats.org/officeDocument/2006/relationships/hyperlink" Target="http://communication.utexas.edu/strauss/turning-point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68F0-8389-47D7-83F6-3A34CF19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commpower</cp:lastModifiedBy>
  <cp:revision>2</cp:revision>
  <cp:lastPrinted>2012-10-24T20:02:00Z</cp:lastPrinted>
  <dcterms:created xsi:type="dcterms:W3CDTF">2012-10-24T23:05:00Z</dcterms:created>
  <dcterms:modified xsi:type="dcterms:W3CDTF">2012-10-24T23:05:00Z</dcterms:modified>
</cp:coreProperties>
</file>