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jc w:val="center"/>
        <w:tblBorders>
          <w:bottom w:val="single" w:sz="4" w:space="0" w:color="auto"/>
        </w:tblBorders>
        <w:tblLayout w:type="fixed"/>
        <w:tblLook w:val="01E0" w:firstRow="1" w:lastRow="1" w:firstColumn="1" w:lastColumn="1" w:noHBand="0" w:noVBand="0"/>
      </w:tblPr>
      <w:tblGrid>
        <w:gridCol w:w="6750"/>
        <w:gridCol w:w="3330"/>
      </w:tblGrid>
      <w:tr w:rsidR="002E597D" w:rsidRPr="00A00596" w14:paraId="52E6D67C" w14:textId="77777777" w:rsidTr="3A48FBF0">
        <w:trPr>
          <w:trHeight w:hRule="exact" w:val="1627"/>
          <w:jc w:val="center"/>
        </w:trPr>
        <w:tc>
          <w:tcPr>
            <w:tcW w:w="6750" w:type="dxa"/>
            <w:vAlign w:val="center"/>
          </w:tcPr>
          <w:p w14:paraId="5E88A480" w14:textId="7BDAB682" w:rsidR="00117A17" w:rsidRDefault="3A48FBF0" w:rsidP="3A48FBF0">
            <w:pPr>
              <w:pStyle w:val="Header"/>
              <w:tabs>
                <w:tab w:val="clear" w:pos="4320"/>
                <w:tab w:val="clear" w:pos="8640"/>
                <w:tab w:val="left" w:pos="7200"/>
              </w:tabs>
              <w:jc w:val="center"/>
              <w:rPr>
                <w:b/>
                <w:bCs/>
                <w:sz w:val="44"/>
                <w:szCs w:val="44"/>
              </w:rPr>
            </w:pPr>
            <w:r w:rsidRPr="3A48FBF0">
              <w:rPr>
                <w:b/>
                <w:bCs/>
                <w:sz w:val="44"/>
                <w:szCs w:val="44"/>
              </w:rPr>
              <w:t>Summer 202</w:t>
            </w:r>
            <w:r w:rsidR="00C87A73">
              <w:rPr>
                <w:b/>
                <w:bCs/>
                <w:sz w:val="44"/>
                <w:szCs w:val="44"/>
              </w:rPr>
              <w:t>3</w:t>
            </w:r>
            <w:r w:rsidRPr="3A48FBF0">
              <w:rPr>
                <w:b/>
                <w:bCs/>
                <w:sz w:val="44"/>
                <w:szCs w:val="44"/>
              </w:rPr>
              <w:t xml:space="preserve"> Wofford </w:t>
            </w:r>
            <w:proofErr w:type="spellStart"/>
            <w:r w:rsidRPr="3A48FBF0">
              <w:rPr>
                <w:b/>
                <w:bCs/>
                <w:sz w:val="44"/>
                <w:szCs w:val="44"/>
              </w:rPr>
              <w:t>Denius</w:t>
            </w:r>
            <w:proofErr w:type="spellEnd"/>
            <w:r w:rsidRPr="3A48FBF0">
              <w:rPr>
                <w:b/>
                <w:bCs/>
                <w:sz w:val="44"/>
                <w:szCs w:val="44"/>
              </w:rPr>
              <w:t xml:space="preserve"> Music Industry Internship </w:t>
            </w:r>
          </w:p>
          <w:p w14:paraId="101E6D2F" w14:textId="3B1BA8C7" w:rsidR="002E597D" w:rsidRPr="00A00596" w:rsidRDefault="3A48FBF0" w:rsidP="3A48FBF0">
            <w:pPr>
              <w:pStyle w:val="Header"/>
              <w:tabs>
                <w:tab w:val="clear" w:pos="4320"/>
                <w:tab w:val="clear" w:pos="8640"/>
                <w:tab w:val="left" w:pos="7200"/>
              </w:tabs>
              <w:jc w:val="center"/>
              <w:rPr>
                <w:b/>
                <w:bCs/>
                <w:sz w:val="44"/>
                <w:szCs w:val="44"/>
              </w:rPr>
            </w:pPr>
            <w:r w:rsidRPr="3A48FBF0">
              <w:rPr>
                <w:b/>
                <w:bCs/>
                <w:sz w:val="44"/>
                <w:szCs w:val="44"/>
              </w:rPr>
              <w:t>Program Guidelines</w:t>
            </w:r>
          </w:p>
        </w:tc>
        <w:tc>
          <w:tcPr>
            <w:tcW w:w="3330" w:type="dxa"/>
            <w:vAlign w:val="center"/>
          </w:tcPr>
          <w:p w14:paraId="7A4F651C" w14:textId="3CEAB1A2" w:rsidR="002E597D" w:rsidRPr="00A00596" w:rsidRDefault="008B3243" w:rsidP="3A48FBF0">
            <w:pPr>
              <w:pStyle w:val="Header"/>
              <w:tabs>
                <w:tab w:val="clear" w:pos="4320"/>
                <w:tab w:val="clear" w:pos="8640"/>
                <w:tab w:val="left" w:pos="7200"/>
              </w:tabs>
              <w:rPr>
                <w:b/>
                <w:bCs/>
                <w:sz w:val="48"/>
                <w:szCs w:val="48"/>
              </w:rPr>
            </w:pPr>
            <w:r>
              <w:rPr>
                <w:noProof/>
              </w:rPr>
              <w:drawing>
                <wp:inline distT="0" distB="0" distL="0" distR="0" wp14:anchorId="04C9E617" wp14:editId="0C5BA938">
                  <wp:extent cx="1977390" cy="6705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977390" cy="670560"/>
                          </a:xfrm>
                          <a:prstGeom prst="rect">
                            <a:avLst/>
                          </a:prstGeom>
                        </pic:spPr>
                      </pic:pic>
                    </a:graphicData>
                  </a:graphic>
                </wp:inline>
              </w:drawing>
            </w:r>
          </w:p>
        </w:tc>
      </w:tr>
    </w:tbl>
    <w:p w14:paraId="504EADED" w14:textId="77777777" w:rsidR="002E597D" w:rsidRPr="00A00596" w:rsidRDefault="002E597D" w:rsidP="3A48FBF0"/>
    <w:p w14:paraId="757333A3" w14:textId="77777777" w:rsidR="00A00596" w:rsidRPr="00A00596" w:rsidRDefault="3A48FBF0" w:rsidP="3A48FBF0">
      <w:pPr>
        <w:jc w:val="center"/>
        <w:rPr>
          <w:sz w:val="28"/>
          <w:szCs w:val="28"/>
        </w:rPr>
      </w:pPr>
      <w:r w:rsidRPr="3A48FBF0">
        <w:rPr>
          <w:sz w:val="28"/>
          <w:szCs w:val="28"/>
        </w:rPr>
        <w:t xml:space="preserve">The </w:t>
      </w:r>
      <w:r w:rsidRPr="3A48FBF0">
        <w:rPr>
          <w:b/>
          <w:bCs/>
          <w:i/>
          <w:iCs/>
          <w:sz w:val="28"/>
          <w:szCs w:val="28"/>
        </w:rPr>
        <w:t xml:space="preserve">Wofford </w:t>
      </w:r>
      <w:proofErr w:type="spellStart"/>
      <w:r w:rsidRPr="3A48FBF0">
        <w:rPr>
          <w:b/>
          <w:bCs/>
          <w:i/>
          <w:iCs/>
          <w:sz w:val="28"/>
          <w:szCs w:val="28"/>
        </w:rPr>
        <w:t>Denius</w:t>
      </w:r>
      <w:proofErr w:type="spellEnd"/>
      <w:r w:rsidRPr="3A48FBF0">
        <w:rPr>
          <w:b/>
          <w:bCs/>
          <w:i/>
          <w:iCs/>
          <w:sz w:val="28"/>
          <w:szCs w:val="28"/>
        </w:rPr>
        <w:t xml:space="preserve"> Music Industry Internship Grants Program</w:t>
      </w:r>
    </w:p>
    <w:p w14:paraId="74E0EB16" w14:textId="2D4D21EA" w:rsidR="00047B9E" w:rsidRDefault="3A48FBF0" w:rsidP="3A48FBF0">
      <w:pPr>
        <w:jc w:val="center"/>
        <w:rPr>
          <w:sz w:val="28"/>
          <w:szCs w:val="28"/>
        </w:rPr>
      </w:pPr>
      <w:r w:rsidRPr="3A48FBF0">
        <w:rPr>
          <w:sz w:val="28"/>
          <w:szCs w:val="28"/>
        </w:rPr>
        <w:t xml:space="preserve">provides financial assistance to UT Austin Moody College of Communication </w:t>
      </w:r>
    </w:p>
    <w:p w14:paraId="1B10C51C" w14:textId="0655B980" w:rsidR="00A00596" w:rsidRPr="00047B9E" w:rsidRDefault="3A48FBF0" w:rsidP="3A48FBF0">
      <w:pPr>
        <w:jc w:val="center"/>
        <w:rPr>
          <w:sz w:val="28"/>
          <w:szCs w:val="28"/>
        </w:rPr>
      </w:pPr>
      <w:r w:rsidRPr="3A48FBF0">
        <w:rPr>
          <w:sz w:val="28"/>
          <w:szCs w:val="28"/>
        </w:rPr>
        <w:t>students pursuing summer internships in the music industry world-wide.</w:t>
      </w:r>
    </w:p>
    <w:p w14:paraId="6D66882E" w14:textId="77777777" w:rsidR="00A00596" w:rsidRPr="00EC3C25" w:rsidRDefault="00A00596" w:rsidP="3A48FBF0">
      <w:pPr>
        <w:rPr>
          <w:sz w:val="16"/>
          <w:szCs w:val="16"/>
        </w:rPr>
      </w:pPr>
    </w:p>
    <w:p w14:paraId="71170D9F" w14:textId="77777777" w:rsidR="00A00596" w:rsidRPr="00A00596" w:rsidRDefault="3A48FBF0" w:rsidP="3A48FBF0">
      <w:pPr>
        <w:ind w:left="360" w:hanging="360"/>
        <w:rPr>
          <w:b/>
          <w:bCs/>
        </w:rPr>
      </w:pPr>
      <w:r w:rsidRPr="3A48FBF0">
        <w:rPr>
          <w:b/>
          <w:bCs/>
        </w:rPr>
        <w:t>ELIGIBILITY:</w:t>
      </w:r>
    </w:p>
    <w:p w14:paraId="1C728C4B" w14:textId="0D16A8F8" w:rsidR="00A00596" w:rsidRPr="00A00596" w:rsidRDefault="3A48FBF0" w:rsidP="3A48FBF0">
      <w:pPr>
        <w:ind w:left="360"/>
      </w:pPr>
      <w:r w:rsidRPr="3A48FBF0">
        <w:t>This program is open to undergraduate students with upper-division standing (by the end of spring 202</w:t>
      </w:r>
      <w:r w:rsidR="00C87A73">
        <w:t>3</w:t>
      </w:r>
      <w:r w:rsidRPr="3A48FBF0">
        <w:t xml:space="preserve"> semester) and graduate students enrolled in the College of Communication who will be returning to the College for at least the fall </w:t>
      </w:r>
      <w:r w:rsidR="00C87A73">
        <w:t>2023</w:t>
      </w:r>
      <w:r w:rsidRPr="3A48FBF0">
        <w:t xml:space="preserve"> semester. </w:t>
      </w:r>
      <w:r w:rsidRPr="3A48FBF0">
        <w:rPr>
          <w:b/>
          <w:bCs/>
        </w:rPr>
        <w:t xml:space="preserve">May </w:t>
      </w:r>
      <w:r w:rsidR="00C87A73">
        <w:rPr>
          <w:b/>
          <w:bCs/>
        </w:rPr>
        <w:t>2023</w:t>
      </w:r>
      <w:r w:rsidRPr="3A48FBF0">
        <w:rPr>
          <w:b/>
          <w:bCs/>
        </w:rPr>
        <w:t xml:space="preserve"> and August </w:t>
      </w:r>
      <w:r w:rsidR="00C87A73">
        <w:rPr>
          <w:b/>
          <w:bCs/>
        </w:rPr>
        <w:t>2023</w:t>
      </w:r>
      <w:r w:rsidRPr="3A48FBF0">
        <w:rPr>
          <w:b/>
          <w:bCs/>
        </w:rPr>
        <w:t xml:space="preserve"> graduates are not eligible.</w:t>
      </w:r>
      <w:r w:rsidRPr="3A48FBF0">
        <w:t xml:space="preserve"> Students from all majors within the College are encouraged to apply.</w:t>
      </w:r>
    </w:p>
    <w:p w14:paraId="717CD2B7" w14:textId="77777777" w:rsidR="00A00596" w:rsidRPr="00EC3C25" w:rsidRDefault="00A00596" w:rsidP="3A48FBF0">
      <w:pPr>
        <w:ind w:left="360"/>
        <w:rPr>
          <w:sz w:val="16"/>
          <w:szCs w:val="16"/>
        </w:rPr>
      </w:pPr>
    </w:p>
    <w:p w14:paraId="5CAC9C88" w14:textId="77777777" w:rsidR="00A00596" w:rsidRPr="00A00596" w:rsidRDefault="3A48FBF0" w:rsidP="3A48FBF0">
      <w:pPr>
        <w:ind w:left="360"/>
        <w:rPr>
          <w:b/>
          <w:bCs/>
        </w:rPr>
      </w:pPr>
      <w:r w:rsidRPr="3A48FBF0">
        <w:rPr>
          <w:b/>
          <w:bCs/>
        </w:rPr>
        <w:t>Applicants must:</w:t>
      </w:r>
    </w:p>
    <w:p w14:paraId="64FDF687" w14:textId="3E04EB03" w:rsidR="00A00596" w:rsidRDefault="3A48FBF0" w:rsidP="3A48FBF0">
      <w:pPr>
        <w:numPr>
          <w:ilvl w:val="0"/>
          <w:numId w:val="4"/>
        </w:numPr>
        <w:rPr>
          <w:b/>
          <w:bCs/>
        </w:rPr>
      </w:pPr>
      <w:r w:rsidRPr="3A48FBF0">
        <w:rPr>
          <w:b/>
          <w:bCs/>
          <w:u w:val="single"/>
        </w:rPr>
        <w:t>be eligible for and enrolled in</w:t>
      </w:r>
      <w:r w:rsidRPr="3A48FBF0">
        <w:rPr>
          <w:b/>
          <w:bCs/>
        </w:rPr>
        <w:t xml:space="preserve"> a credit-based internship course during the Summer </w:t>
      </w:r>
      <w:r w:rsidR="00C87A73">
        <w:rPr>
          <w:b/>
          <w:bCs/>
        </w:rPr>
        <w:t>2023</w:t>
      </w:r>
      <w:r w:rsidRPr="3A48FBF0">
        <w:rPr>
          <w:b/>
          <w:bCs/>
        </w:rPr>
        <w:t xml:space="preserve"> semester; </w:t>
      </w:r>
      <w:r w:rsidRPr="3A48FBF0">
        <w:rPr>
          <w:b/>
          <w:bCs/>
          <w:color w:val="FF0000"/>
        </w:rPr>
        <w:t xml:space="preserve">Proof of class enrollment must be provided before funding is awarded. </w:t>
      </w:r>
    </w:p>
    <w:p w14:paraId="7DE7932C" w14:textId="3DD825B3" w:rsidR="00A00596" w:rsidRPr="00A00596" w:rsidRDefault="3A48FBF0" w:rsidP="3A48FBF0">
      <w:pPr>
        <w:numPr>
          <w:ilvl w:val="0"/>
          <w:numId w:val="4"/>
        </w:numPr>
        <w:rPr>
          <w:b/>
          <w:bCs/>
        </w:rPr>
      </w:pPr>
      <w:r w:rsidRPr="3A48FBF0">
        <w:rPr>
          <w:b/>
          <w:bCs/>
        </w:rPr>
        <w:t xml:space="preserve">secure an internship before </w:t>
      </w:r>
      <w:r w:rsidR="00C87A73" w:rsidRPr="3A48FBF0">
        <w:rPr>
          <w:b/>
          <w:bCs/>
        </w:rPr>
        <w:t>applying.</w:t>
      </w:r>
    </w:p>
    <w:p w14:paraId="0712F40F" w14:textId="16A55FED" w:rsidR="00A85CEE" w:rsidRDefault="3A48FBF0" w:rsidP="3A48FBF0">
      <w:pPr>
        <w:numPr>
          <w:ilvl w:val="0"/>
          <w:numId w:val="4"/>
        </w:numPr>
        <w:rPr>
          <w:b/>
          <w:bCs/>
        </w:rPr>
      </w:pPr>
      <w:r w:rsidRPr="3A48FBF0">
        <w:rPr>
          <w:b/>
          <w:bCs/>
        </w:rPr>
        <w:t xml:space="preserve">have a faculty sponsor for their </w:t>
      </w:r>
      <w:r w:rsidR="00C87A73" w:rsidRPr="3A48FBF0">
        <w:rPr>
          <w:b/>
          <w:bCs/>
        </w:rPr>
        <w:t>application.</w:t>
      </w:r>
      <w:r w:rsidRPr="3A48FBF0">
        <w:rPr>
          <w:b/>
          <w:bCs/>
        </w:rPr>
        <w:t xml:space="preserve"> </w:t>
      </w:r>
      <w:r w:rsidR="00C87A73">
        <w:rPr>
          <w:b/>
          <w:bCs/>
        </w:rPr>
        <w:t xml:space="preserve"> </w:t>
      </w:r>
    </w:p>
    <w:p w14:paraId="38060209" w14:textId="17C6EF1A" w:rsidR="00A00596" w:rsidRDefault="3A48FBF0" w:rsidP="3A48FBF0">
      <w:pPr>
        <w:numPr>
          <w:ilvl w:val="0"/>
          <w:numId w:val="4"/>
        </w:numPr>
        <w:rPr>
          <w:b/>
          <w:bCs/>
        </w:rPr>
      </w:pPr>
      <w:r w:rsidRPr="3A48FBF0">
        <w:rPr>
          <w:b/>
          <w:bCs/>
        </w:rPr>
        <w:t xml:space="preserve">have no financial </w:t>
      </w:r>
      <w:r w:rsidR="00C87A73" w:rsidRPr="3A48FBF0">
        <w:rPr>
          <w:b/>
          <w:bCs/>
        </w:rPr>
        <w:t>bars.</w:t>
      </w:r>
      <w:r w:rsidRPr="3A48FBF0">
        <w:rPr>
          <w:b/>
          <w:bCs/>
        </w:rPr>
        <w:t xml:space="preserve"> </w:t>
      </w:r>
    </w:p>
    <w:p w14:paraId="5988E145" w14:textId="00EE3E29" w:rsidR="00A00596" w:rsidRPr="00A00596" w:rsidRDefault="30D0D02C" w:rsidP="30D0D02C">
      <w:pPr>
        <w:ind w:left="1080"/>
        <w:rPr>
          <w:b/>
          <w:bCs/>
          <w:color w:val="FF0000"/>
        </w:rPr>
      </w:pPr>
      <w:r w:rsidRPr="30D0D02C">
        <w:rPr>
          <w:b/>
          <w:bCs/>
          <w:color w:val="FF0000"/>
        </w:rPr>
        <w:t>NOTE: You should check with Financial Aid to makes sure your package allows for this scholarship.  If not, you will NOT receive this funding or will be required to reimburse the University the amount of the scholarship awarded.</w:t>
      </w:r>
    </w:p>
    <w:p w14:paraId="7336F146" w14:textId="77777777" w:rsidR="00A00596" w:rsidRPr="00EC3C25" w:rsidRDefault="00A00596" w:rsidP="3A48FBF0">
      <w:pPr>
        <w:rPr>
          <w:b/>
          <w:bCs/>
          <w:i/>
          <w:iCs/>
          <w:sz w:val="16"/>
          <w:szCs w:val="16"/>
        </w:rPr>
      </w:pPr>
    </w:p>
    <w:p w14:paraId="1DD30923" w14:textId="77777777" w:rsidR="00A00596" w:rsidRPr="00A00596" w:rsidRDefault="30D0D02C" w:rsidP="30D0D02C">
      <w:pPr>
        <w:ind w:left="360" w:hanging="360"/>
        <w:rPr>
          <w:b/>
          <w:bCs/>
        </w:rPr>
      </w:pPr>
      <w:r w:rsidRPr="30D0D02C">
        <w:rPr>
          <w:b/>
          <w:bCs/>
        </w:rPr>
        <w:t>APPLICATION CRITERIA &amp; GRANT AMOUNT:</w:t>
      </w:r>
    </w:p>
    <w:p w14:paraId="77A8EF62" w14:textId="4F33B59C" w:rsidR="4452EA47" w:rsidRDefault="4452EA47" w:rsidP="4452EA47">
      <w:r w:rsidRPr="4452EA47">
        <w:t xml:space="preserve">Applications are available online at: </w:t>
      </w:r>
      <w:r w:rsidRPr="4452EA47">
        <w:rPr>
          <w:rFonts w:ascii="Calibri Light" w:eastAsia="Calibri Light" w:hAnsi="Calibri Light" w:cs="Calibri Light"/>
        </w:rPr>
        <w:t xml:space="preserve">- </w:t>
      </w:r>
      <w:hyperlink r:id="rId8">
        <w:r w:rsidRPr="4452EA47">
          <w:rPr>
            <w:rStyle w:val="Hyperlink"/>
          </w:rPr>
          <w:t>https://moody.utexas.edu/career-services/denius-music-industry-internship-program</w:t>
        </w:r>
      </w:hyperlink>
    </w:p>
    <w:p w14:paraId="44123D2F" w14:textId="5199AA8C" w:rsidR="00A00596" w:rsidRPr="00047B9E" w:rsidRDefault="3A48FBF0" w:rsidP="3A48FBF0">
      <w:pPr>
        <w:ind w:left="360"/>
      </w:pPr>
      <w:r w:rsidRPr="3A48FBF0">
        <w:t>All applications must include:</w:t>
      </w:r>
    </w:p>
    <w:p w14:paraId="3817C975" w14:textId="77777777" w:rsidR="009D7900" w:rsidRDefault="3A48FBF0" w:rsidP="3A48FBF0">
      <w:pPr>
        <w:pStyle w:val="ListParagraph"/>
        <w:numPr>
          <w:ilvl w:val="0"/>
          <w:numId w:val="7"/>
        </w:numPr>
        <w:contextualSpacing/>
        <w:rPr>
          <w:sz w:val="22"/>
          <w:szCs w:val="22"/>
        </w:rPr>
      </w:pPr>
      <w:r w:rsidRPr="3A48FBF0">
        <w:rPr>
          <w:sz w:val="22"/>
          <w:szCs w:val="22"/>
        </w:rPr>
        <w:t>Completed application form</w:t>
      </w:r>
    </w:p>
    <w:p w14:paraId="03985943" w14:textId="77777777" w:rsidR="009D7900" w:rsidRPr="00A27B8F" w:rsidRDefault="3A48FBF0" w:rsidP="3A48FBF0">
      <w:pPr>
        <w:pStyle w:val="ListParagraph"/>
        <w:numPr>
          <w:ilvl w:val="0"/>
          <w:numId w:val="7"/>
        </w:numPr>
        <w:contextualSpacing/>
        <w:rPr>
          <w:sz w:val="22"/>
          <w:szCs w:val="22"/>
        </w:rPr>
      </w:pPr>
      <w:r w:rsidRPr="3A48FBF0">
        <w:rPr>
          <w:sz w:val="22"/>
          <w:szCs w:val="22"/>
        </w:rPr>
        <w:t>Description of the internship opportunity</w:t>
      </w:r>
    </w:p>
    <w:p w14:paraId="06A504F5" w14:textId="77777777" w:rsidR="009D7900" w:rsidRPr="00A27B8F" w:rsidRDefault="3A48FBF0" w:rsidP="3A48FBF0">
      <w:pPr>
        <w:pStyle w:val="ListParagraph"/>
        <w:numPr>
          <w:ilvl w:val="0"/>
          <w:numId w:val="7"/>
        </w:numPr>
        <w:contextualSpacing/>
        <w:rPr>
          <w:sz w:val="22"/>
          <w:szCs w:val="22"/>
        </w:rPr>
      </w:pPr>
      <w:r w:rsidRPr="3A48FBF0">
        <w:rPr>
          <w:sz w:val="22"/>
          <w:szCs w:val="22"/>
        </w:rPr>
        <w:t>Email/letter of acceptance from the internship host company/organization</w:t>
      </w:r>
    </w:p>
    <w:p w14:paraId="03BBE587" w14:textId="77777777" w:rsidR="009D7900" w:rsidRPr="00A27B8F" w:rsidRDefault="3A48FBF0" w:rsidP="3A48FBF0">
      <w:pPr>
        <w:pStyle w:val="ListParagraph"/>
        <w:numPr>
          <w:ilvl w:val="0"/>
          <w:numId w:val="7"/>
        </w:numPr>
        <w:contextualSpacing/>
        <w:rPr>
          <w:sz w:val="22"/>
          <w:szCs w:val="22"/>
        </w:rPr>
      </w:pPr>
      <w:r w:rsidRPr="3A48FBF0">
        <w:rPr>
          <w:sz w:val="22"/>
          <w:szCs w:val="22"/>
        </w:rPr>
        <w:t>Breakdown of budget estimate with supporting materials</w:t>
      </w:r>
    </w:p>
    <w:p w14:paraId="5A611A33" w14:textId="77777777" w:rsidR="009D7900" w:rsidRPr="00A27B8F" w:rsidRDefault="3A48FBF0" w:rsidP="3A48FBF0">
      <w:pPr>
        <w:pStyle w:val="ListParagraph"/>
        <w:numPr>
          <w:ilvl w:val="0"/>
          <w:numId w:val="7"/>
        </w:numPr>
        <w:contextualSpacing/>
        <w:rPr>
          <w:sz w:val="22"/>
          <w:szCs w:val="22"/>
        </w:rPr>
      </w:pPr>
      <w:r w:rsidRPr="3A48FBF0">
        <w:rPr>
          <w:sz w:val="22"/>
          <w:szCs w:val="22"/>
        </w:rPr>
        <w:t>Letter of recommendation from your faculty sponsor</w:t>
      </w:r>
    </w:p>
    <w:p w14:paraId="5A36EC2B" w14:textId="77777777" w:rsidR="009D7900" w:rsidRPr="00A27B8F" w:rsidRDefault="3A48FBF0" w:rsidP="3A48FBF0">
      <w:pPr>
        <w:pStyle w:val="ListParagraph"/>
        <w:numPr>
          <w:ilvl w:val="0"/>
          <w:numId w:val="7"/>
        </w:numPr>
        <w:contextualSpacing/>
        <w:rPr>
          <w:sz w:val="22"/>
          <w:szCs w:val="22"/>
        </w:rPr>
      </w:pPr>
      <w:r w:rsidRPr="3A48FBF0">
        <w:rPr>
          <w:sz w:val="22"/>
          <w:szCs w:val="22"/>
        </w:rPr>
        <w:t>Narrative addressing the following:</w:t>
      </w:r>
    </w:p>
    <w:p w14:paraId="080F1F11" w14:textId="77777777" w:rsidR="009D7900" w:rsidRPr="00A27B8F" w:rsidRDefault="3A48FBF0" w:rsidP="3A48FBF0">
      <w:pPr>
        <w:pStyle w:val="ListParagraph"/>
        <w:numPr>
          <w:ilvl w:val="0"/>
          <w:numId w:val="8"/>
        </w:numPr>
        <w:ind w:left="1080"/>
        <w:contextualSpacing/>
        <w:rPr>
          <w:i/>
          <w:iCs/>
          <w:sz w:val="22"/>
          <w:szCs w:val="22"/>
        </w:rPr>
      </w:pPr>
      <w:r w:rsidRPr="3A48FBF0">
        <w:rPr>
          <w:i/>
          <w:iCs/>
          <w:sz w:val="22"/>
          <w:szCs w:val="22"/>
        </w:rPr>
        <w:t xml:space="preserve">why you have selected this internship </w:t>
      </w:r>
    </w:p>
    <w:p w14:paraId="472782CD" w14:textId="77777777" w:rsidR="009D7900" w:rsidRPr="00A27B8F" w:rsidRDefault="3A48FBF0" w:rsidP="3A48FBF0">
      <w:pPr>
        <w:pStyle w:val="ListParagraph"/>
        <w:numPr>
          <w:ilvl w:val="0"/>
          <w:numId w:val="9"/>
        </w:numPr>
        <w:ind w:left="1080"/>
        <w:contextualSpacing/>
        <w:rPr>
          <w:sz w:val="22"/>
          <w:szCs w:val="22"/>
        </w:rPr>
      </w:pPr>
      <w:r w:rsidRPr="3A48FBF0">
        <w:rPr>
          <w:i/>
          <w:iCs/>
          <w:sz w:val="22"/>
          <w:szCs w:val="22"/>
        </w:rPr>
        <w:t>what you have done in and out of the classroom to be successful in this internship</w:t>
      </w:r>
    </w:p>
    <w:p w14:paraId="51D1D215" w14:textId="77777777" w:rsidR="009D7900" w:rsidRPr="00A27B8F" w:rsidRDefault="3A48FBF0" w:rsidP="3A48FBF0">
      <w:pPr>
        <w:pStyle w:val="ListParagraph"/>
        <w:numPr>
          <w:ilvl w:val="0"/>
          <w:numId w:val="9"/>
        </w:numPr>
        <w:ind w:left="1080"/>
        <w:contextualSpacing/>
        <w:rPr>
          <w:sz w:val="22"/>
          <w:szCs w:val="22"/>
        </w:rPr>
      </w:pPr>
      <w:r w:rsidRPr="3A48FBF0">
        <w:rPr>
          <w:i/>
          <w:iCs/>
          <w:sz w:val="22"/>
          <w:szCs w:val="22"/>
        </w:rPr>
        <w:t>how this internship will assist you in meeting both your educational and career goals</w:t>
      </w:r>
    </w:p>
    <w:p w14:paraId="797540C6" w14:textId="77777777" w:rsidR="009D7900" w:rsidRPr="00A27B8F" w:rsidRDefault="3A48FBF0" w:rsidP="3A48FBF0">
      <w:pPr>
        <w:pStyle w:val="ListParagraph"/>
        <w:numPr>
          <w:ilvl w:val="0"/>
          <w:numId w:val="7"/>
        </w:numPr>
        <w:contextualSpacing/>
        <w:rPr>
          <w:sz w:val="22"/>
          <w:szCs w:val="22"/>
        </w:rPr>
      </w:pPr>
      <w:r w:rsidRPr="3A48FBF0">
        <w:rPr>
          <w:sz w:val="22"/>
          <w:szCs w:val="22"/>
        </w:rPr>
        <w:t>Current resume</w:t>
      </w:r>
    </w:p>
    <w:p w14:paraId="2242E145" w14:textId="77777777" w:rsidR="009D7900" w:rsidRPr="00A27B8F" w:rsidRDefault="3A48FBF0" w:rsidP="3A48FBF0">
      <w:pPr>
        <w:pStyle w:val="ListParagraph"/>
        <w:numPr>
          <w:ilvl w:val="0"/>
          <w:numId w:val="7"/>
        </w:numPr>
        <w:contextualSpacing/>
        <w:rPr>
          <w:sz w:val="22"/>
          <w:szCs w:val="22"/>
        </w:rPr>
      </w:pPr>
      <w:r w:rsidRPr="3A48FBF0">
        <w:rPr>
          <w:sz w:val="22"/>
          <w:szCs w:val="22"/>
        </w:rPr>
        <w:t>Unofficial academic transcript</w:t>
      </w:r>
    </w:p>
    <w:p w14:paraId="22FB4C62" w14:textId="77777777" w:rsidR="00EC3C25" w:rsidRPr="00EC3C25" w:rsidRDefault="00EC3C25" w:rsidP="3A48FBF0">
      <w:pPr>
        <w:ind w:left="720"/>
        <w:rPr>
          <w:color w:val="FF0000"/>
          <w:sz w:val="16"/>
          <w:szCs w:val="16"/>
        </w:rPr>
      </w:pPr>
    </w:p>
    <w:p w14:paraId="2F13E042" w14:textId="77777777" w:rsidR="007466CE" w:rsidRPr="00EC3C25" w:rsidRDefault="007466CE" w:rsidP="3A48FBF0">
      <w:pPr>
        <w:ind w:left="360"/>
        <w:rPr>
          <w:b/>
          <w:bCs/>
          <w:sz w:val="16"/>
          <w:szCs w:val="16"/>
        </w:rPr>
      </w:pPr>
    </w:p>
    <w:p w14:paraId="1D5345B6" w14:textId="0B3B2740" w:rsidR="00A00596" w:rsidRDefault="3A48FBF0" w:rsidP="3A48FBF0">
      <w:pPr>
        <w:ind w:left="360"/>
      </w:pPr>
      <w:r w:rsidRPr="3A48FBF0">
        <w:rPr>
          <w:b/>
          <w:bCs/>
        </w:rPr>
        <w:t>All application packets will be evaluated based on content, presentation, and interview.</w:t>
      </w:r>
      <w:r w:rsidRPr="3A48FBF0">
        <w:t xml:space="preserve"> Grants can be requested in any amount up to $6000. Up to five (5) grants are awarded each summer to qualified applicants.</w:t>
      </w:r>
    </w:p>
    <w:p w14:paraId="0662A7F8" w14:textId="28DF89F0" w:rsidR="30D0D02C" w:rsidRDefault="30D0D02C" w:rsidP="30D0D02C">
      <w:pPr>
        <w:ind w:left="360"/>
      </w:pPr>
    </w:p>
    <w:p w14:paraId="6D60299E" w14:textId="161FA0CC" w:rsidR="30D0D02C" w:rsidRDefault="30D0D02C" w:rsidP="30D0D02C">
      <w:pPr>
        <w:ind w:left="360"/>
      </w:pPr>
    </w:p>
    <w:p w14:paraId="3E8DC7F1" w14:textId="2E65EDB9" w:rsidR="30D0D02C" w:rsidRDefault="30D0D02C" w:rsidP="30D0D02C">
      <w:pPr>
        <w:ind w:left="360"/>
      </w:pPr>
    </w:p>
    <w:p w14:paraId="30E19976" w14:textId="283513C3" w:rsidR="30D0D02C" w:rsidRDefault="30D0D02C" w:rsidP="30D0D02C">
      <w:pPr>
        <w:ind w:left="360"/>
      </w:pPr>
    </w:p>
    <w:p w14:paraId="6578AF8B" w14:textId="77777777" w:rsidR="00EC3C25" w:rsidRPr="00A00596" w:rsidRDefault="3A48FBF0" w:rsidP="3A48FBF0">
      <w:pPr>
        <w:rPr>
          <w:b/>
          <w:bCs/>
        </w:rPr>
      </w:pPr>
      <w:r w:rsidRPr="3A48FBF0">
        <w:rPr>
          <w:b/>
          <w:bCs/>
        </w:rPr>
        <w:t>INTERNSHIP STANDARDS, SUPERVISION &amp; EVALUATION:</w:t>
      </w:r>
    </w:p>
    <w:p w14:paraId="61F3551D" w14:textId="507BA04C" w:rsidR="00EC3C25" w:rsidRPr="00A00596" w:rsidRDefault="3A48FBF0" w:rsidP="3A48FBF0">
      <w:pPr>
        <w:ind w:left="360"/>
      </w:pPr>
      <w:r w:rsidRPr="3A48FBF0">
        <w:t xml:space="preserve">Internships must take place between June and August </w:t>
      </w:r>
      <w:r w:rsidR="00C87A73">
        <w:t>2023</w:t>
      </w:r>
      <w:r w:rsidRPr="3A48FBF0">
        <w:t xml:space="preserve"> and should be eight (8) to twelve (12) weeks in length. The average intern workweek should include no fewer than 32 and no more than 40 hours. Each intern must have an on-site supervisor who will be accessible to the student-intern, UT’s internship coordinator, and the Moody Career Center program coordinator. Intern performance will be evaluated by the on-site supervisor in collaboration with UT’s internship coordinator to ensure the experiential and academic value of the internship experience. </w:t>
      </w:r>
      <w:r w:rsidRPr="3A48FBF0">
        <w:rPr>
          <w:b/>
          <w:bCs/>
        </w:rPr>
        <w:t xml:space="preserve">PLEASE NOTE: You must present proof that you are enrolled in a UT departmental internship course for summer </w:t>
      </w:r>
      <w:r w:rsidR="00C87A73">
        <w:rPr>
          <w:b/>
          <w:bCs/>
        </w:rPr>
        <w:t>2023</w:t>
      </w:r>
      <w:r w:rsidRPr="3A48FBF0">
        <w:rPr>
          <w:b/>
          <w:bCs/>
        </w:rPr>
        <w:t xml:space="preserve"> in order to receive funding.</w:t>
      </w:r>
    </w:p>
    <w:p w14:paraId="4F152FC5" w14:textId="77777777" w:rsidR="00EC3C25" w:rsidRPr="00A00596" w:rsidRDefault="00EC3C25" w:rsidP="3A48FBF0"/>
    <w:p w14:paraId="7AD68A87" w14:textId="77777777" w:rsidR="00EC3C25" w:rsidRPr="00A00596" w:rsidRDefault="3A48FBF0" w:rsidP="3A48FBF0">
      <w:pPr>
        <w:ind w:left="360" w:hanging="360"/>
        <w:rPr>
          <w:b/>
          <w:bCs/>
        </w:rPr>
      </w:pPr>
      <w:r w:rsidRPr="3A48FBF0">
        <w:rPr>
          <w:b/>
          <w:bCs/>
        </w:rPr>
        <w:t>SAMPLE MUSIC INDUSTRY INTERNSHIP AREAS:</w:t>
      </w:r>
    </w:p>
    <w:p w14:paraId="138D67D0" w14:textId="77777777" w:rsidR="00EC3C25" w:rsidRPr="00A00596" w:rsidRDefault="3A48FBF0" w:rsidP="3A48FBF0">
      <w:pPr>
        <w:ind w:left="360"/>
      </w:pPr>
      <w:r w:rsidRPr="3A48FBF0">
        <w:t>For an internship to qualify for consideration, it must be in a professional field within the music industry. Eligible professional fields include but are not limited to:</w:t>
      </w:r>
    </w:p>
    <w:p w14:paraId="32D45953" w14:textId="77777777" w:rsidR="00EC3C25" w:rsidRPr="00A00596" w:rsidRDefault="3A48FBF0" w:rsidP="3A48FBF0">
      <w:pPr>
        <w:ind w:left="720"/>
      </w:pPr>
      <w:r w:rsidRPr="3A48FBF0">
        <w:t>A&amp;R</w:t>
      </w:r>
      <w:r w:rsidR="00EC3C25">
        <w:tab/>
      </w:r>
      <w:r w:rsidR="00EC3C25">
        <w:tab/>
      </w:r>
      <w:r w:rsidR="00EC3C25">
        <w:tab/>
      </w:r>
      <w:r w:rsidR="00EC3C25">
        <w:tab/>
      </w:r>
      <w:r w:rsidR="00EC3C25">
        <w:tab/>
      </w:r>
      <w:r w:rsidR="00EC3C25">
        <w:tab/>
      </w:r>
      <w:r w:rsidR="00EC3C25">
        <w:tab/>
      </w:r>
      <w:r w:rsidR="00EC3C25">
        <w:tab/>
      </w:r>
      <w:r w:rsidRPr="3A48FBF0">
        <w:t>Music Talent Agency</w:t>
      </w:r>
      <w:r w:rsidR="00EC3C25">
        <w:tab/>
      </w:r>
      <w:r w:rsidR="00EC3C25">
        <w:tab/>
      </w:r>
      <w:r w:rsidR="00EC3C25">
        <w:tab/>
      </w:r>
      <w:r w:rsidR="00EC3C25">
        <w:tab/>
      </w:r>
      <w:r w:rsidRPr="3A48FBF0">
        <w:t>Publishing</w:t>
      </w:r>
    </w:p>
    <w:p w14:paraId="177398ED" w14:textId="77777777" w:rsidR="00EC3C25" w:rsidRPr="00A00596" w:rsidRDefault="3A48FBF0" w:rsidP="3A48FBF0">
      <w:pPr>
        <w:ind w:left="720"/>
      </w:pPr>
      <w:r w:rsidRPr="3A48FBF0">
        <w:t>Advertising/Marketing</w:t>
      </w:r>
      <w:r w:rsidR="00EC3C25">
        <w:tab/>
      </w:r>
      <w:r w:rsidR="00EC3C25">
        <w:tab/>
      </w:r>
      <w:r w:rsidR="00EC3C25">
        <w:tab/>
      </w:r>
      <w:r w:rsidRPr="3A48FBF0">
        <w:t>Music TV/Video Production</w:t>
      </w:r>
      <w:r w:rsidR="00EC3C25">
        <w:tab/>
      </w:r>
      <w:r w:rsidR="00EC3C25">
        <w:tab/>
      </w:r>
      <w:r w:rsidRPr="3A48FBF0">
        <w:t>Radio</w:t>
      </w:r>
    </w:p>
    <w:p w14:paraId="48BE726C" w14:textId="77777777" w:rsidR="00EC3C25" w:rsidRPr="00A00596" w:rsidRDefault="3A48FBF0" w:rsidP="3A48FBF0">
      <w:pPr>
        <w:ind w:left="720"/>
      </w:pPr>
      <w:r w:rsidRPr="3A48FBF0">
        <w:t>Distribution</w:t>
      </w:r>
      <w:r w:rsidR="00EC3C25">
        <w:tab/>
      </w:r>
      <w:r w:rsidR="00EC3C25">
        <w:tab/>
      </w:r>
      <w:r w:rsidR="00EC3C25">
        <w:tab/>
      </w:r>
      <w:r w:rsidR="00EC3C25">
        <w:tab/>
      </w:r>
      <w:r w:rsidR="00EC3C25">
        <w:tab/>
      </w:r>
      <w:r w:rsidR="00EC3C25">
        <w:tab/>
      </w:r>
      <w:r w:rsidRPr="3A48FBF0">
        <w:t>Producing</w:t>
      </w:r>
      <w:r w:rsidR="00EC3C25">
        <w:tab/>
      </w:r>
      <w:r w:rsidR="00EC3C25">
        <w:tab/>
      </w:r>
      <w:r w:rsidR="00EC3C25">
        <w:tab/>
      </w:r>
      <w:r w:rsidR="00EC3C25">
        <w:tab/>
      </w:r>
      <w:r w:rsidR="00EC3C25">
        <w:tab/>
      </w:r>
      <w:r w:rsidR="00EC3C25">
        <w:tab/>
      </w:r>
      <w:r w:rsidR="00EC3C25">
        <w:tab/>
      </w:r>
      <w:r w:rsidRPr="3A48FBF0">
        <w:t>Recording</w:t>
      </w:r>
    </w:p>
    <w:p w14:paraId="4D386729" w14:textId="77777777" w:rsidR="00EC3C25" w:rsidRPr="00A00596" w:rsidRDefault="3A48FBF0" w:rsidP="3A48FBF0">
      <w:pPr>
        <w:ind w:left="720"/>
      </w:pPr>
      <w:r w:rsidRPr="3A48FBF0">
        <w:t>Interactive &amp; New Media</w:t>
      </w:r>
      <w:r w:rsidR="00EC3C25">
        <w:tab/>
      </w:r>
      <w:r w:rsidR="00EC3C25">
        <w:tab/>
      </w:r>
      <w:r w:rsidR="00EC3C25">
        <w:tab/>
      </w:r>
      <w:r w:rsidRPr="3A48FBF0">
        <w:t>Promotions/Publicity</w:t>
      </w:r>
      <w:r w:rsidR="00EC3C25">
        <w:tab/>
      </w:r>
      <w:r w:rsidR="00EC3C25">
        <w:tab/>
      </w:r>
      <w:r w:rsidR="00EC3C25">
        <w:tab/>
      </w:r>
      <w:r w:rsidR="00EC3C25">
        <w:tab/>
      </w:r>
      <w:r w:rsidRPr="3A48FBF0">
        <w:t>Songwriting/Composing</w:t>
      </w:r>
    </w:p>
    <w:p w14:paraId="07DA6624" w14:textId="77777777" w:rsidR="00EC3C25" w:rsidRPr="00A00596" w:rsidRDefault="3A48FBF0" w:rsidP="3A48FBF0">
      <w:pPr>
        <w:ind w:left="720"/>
      </w:pPr>
      <w:r w:rsidRPr="3A48FBF0">
        <w:t>Music Journalism</w:t>
      </w:r>
      <w:r w:rsidR="00EC3C25">
        <w:tab/>
      </w:r>
      <w:r w:rsidR="00EC3C25">
        <w:tab/>
      </w:r>
      <w:r w:rsidR="00EC3C25">
        <w:tab/>
      </w:r>
      <w:r w:rsidR="00EC3C25">
        <w:tab/>
      </w:r>
      <w:r w:rsidR="00EC3C25">
        <w:tab/>
      </w:r>
      <w:r w:rsidRPr="3A48FBF0">
        <w:t>Public Relations</w:t>
      </w:r>
      <w:r w:rsidR="00EC3C25">
        <w:tab/>
      </w:r>
      <w:r w:rsidR="00EC3C25">
        <w:tab/>
      </w:r>
      <w:r w:rsidR="00EC3C25">
        <w:tab/>
      </w:r>
      <w:r w:rsidR="00EC3C25">
        <w:tab/>
      </w:r>
      <w:r w:rsidR="00EC3C25">
        <w:tab/>
      </w:r>
      <w:r w:rsidRPr="3A48FBF0">
        <w:t>Talent Management</w:t>
      </w:r>
    </w:p>
    <w:p w14:paraId="608D292D" w14:textId="77777777" w:rsidR="00EC3C25" w:rsidRPr="00A00596" w:rsidRDefault="00EC3C25" w:rsidP="3A48FBF0"/>
    <w:p w14:paraId="227182BC" w14:textId="77777777" w:rsidR="00EC3C25" w:rsidRPr="00A00596" w:rsidRDefault="3A48FBF0" w:rsidP="3A48FBF0">
      <w:pPr>
        <w:ind w:left="360" w:hanging="360"/>
        <w:rPr>
          <w:b/>
          <w:bCs/>
        </w:rPr>
      </w:pPr>
      <w:r w:rsidRPr="3A48FBF0">
        <w:rPr>
          <w:b/>
          <w:bCs/>
        </w:rPr>
        <w:t>APPLICATION DEADLINE &amp; GRANT RECIPIENT NOTIFICATION:</w:t>
      </w:r>
    </w:p>
    <w:p w14:paraId="77B12289" w14:textId="2240B87F" w:rsidR="00EC3C25" w:rsidRPr="00A00596" w:rsidRDefault="30D0D02C" w:rsidP="3A48FBF0">
      <w:pPr>
        <w:ind w:left="360"/>
      </w:pPr>
      <w:r w:rsidRPr="30D0D02C">
        <w:rPr>
          <w:b/>
          <w:bCs/>
        </w:rPr>
        <w:t xml:space="preserve">Applications are due by </w:t>
      </w:r>
      <w:r w:rsidRPr="30D0D02C">
        <w:rPr>
          <w:b/>
          <w:bCs/>
          <w:u w:val="single"/>
        </w:rPr>
        <w:t>5 p.m., Monday, April 2</w:t>
      </w:r>
      <w:r w:rsidR="00AF40E8">
        <w:rPr>
          <w:b/>
          <w:bCs/>
          <w:u w:val="single"/>
        </w:rPr>
        <w:t>4</w:t>
      </w:r>
      <w:r w:rsidRPr="30D0D02C">
        <w:rPr>
          <w:b/>
          <w:bCs/>
          <w:u w:val="single"/>
        </w:rPr>
        <w:t xml:space="preserve">, </w:t>
      </w:r>
      <w:proofErr w:type="gramStart"/>
      <w:r w:rsidR="00C87A73">
        <w:rPr>
          <w:b/>
          <w:bCs/>
          <w:u w:val="single"/>
        </w:rPr>
        <w:t>2023</w:t>
      </w:r>
      <w:proofErr w:type="gramEnd"/>
      <w:r w:rsidRPr="30D0D02C">
        <w:rPr>
          <w:b/>
          <w:bCs/>
          <w:u w:val="single"/>
        </w:rPr>
        <w:t xml:space="preserve"> and must be submitted to </w:t>
      </w:r>
      <w:r w:rsidRPr="30D0D02C">
        <w:rPr>
          <w:b/>
          <w:bCs/>
          <w:color w:val="FF0000"/>
          <w:u w:val="single"/>
        </w:rPr>
        <w:t>Ashley Nash at ashley.nash@austin.utexas.edu</w:t>
      </w:r>
      <w:r w:rsidRPr="30D0D02C">
        <w:rPr>
          <w:b/>
          <w:bCs/>
          <w:color w:val="FF0000"/>
        </w:rPr>
        <w:t>.</w:t>
      </w:r>
      <w:r w:rsidRPr="30D0D02C">
        <w:rPr>
          <w:b/>
          <w:bCs/>
        </w:rPr>
        <w:t xml:space="preserve"> </w:t>
      </w:r>
      <w:r w:rsidRPr="30D0D02C">
        <w:t xml:space="preserve">After submitting the application packets, grant applicants will be notified and asked to sign-up for a </w:t>
      </w:r>
      <w:r w:rsidRPr="30D0D02C">
        <w:rPr>
          <w:b/>
          <w:bCs/>
        </w:rPr>
        <w:t xml:space="preserve">mandatory interview time </w:t>
      </w:r>
      <w:r w:rsidRPr="30D0D02C">
        <w:t>with the selection committee to take place</w:t>
      </w:r>
      <w:r w:rsidRPr="30D0D02C">
        <w:rPr>
          <w:b/>
          <w:bCs/>
        </w:rPr>
        <w:t xml:space="preserve"> on Friday, April 2</w:t>
      </w:r>
      <w:r w:rsidR="00AF40E8">
        <w:rPr>
          <w:b/>
          <w:bCs/>
        </w:rPr>
        <w:t>8</w:t>
      </w:r>
      <w:r w:rsidRPr="30D0D02C">
        <w:rPr>
          <w:b/>
          <w:bCs/>
        </w:rPr>
        <w:t>th.</w:t>
      </w:r>
      <w:r w:rsidRPr="30D0D02C">
        <w:rPr>
          <w:color w:val="FF0000"/>
        </w:rPr>
        <w:t xml:space="preserve"> </w:t>
      </w:r>
      <w:r w:rsidRPr="30D0D02C">
        <w:rPr>
          <w:b/>
          <w:bCs/>
          <w:color w:val="FF0000"/>
        </w:rPr>
        <w:t xml:space="preserve">Late, incomplete, or applications submitted at the wrong location </w:t>
      </w:r>
      <w:r w:rsidR="00AF40E8" w:rsidRPr="30D0D02C">
        <w:rPr>
          <w:b/>
          <w:bCs/>
          <w:color w:val="FF0000"/>
        </w:rPr>
        <w:t>will NOT be</w:t>
      </w:r>
      <w:r w:rsidRPr="30D0D02C">
        <w:rPr>
          <w:b/>
          <w:bCs/>
          <w:color w:val="FF0000"/>
        </w:rPr>
        <w:t xml:space="preserve"> considered.</w:t>
      </w:r>
      <w:r w:rsidRPr="30D0D02C">
        <w:t xml:space="preserve"> Grant awards will be announced by </w:t>
      </w:r>
      <w:r w:rsidRPr="30D0D02C">
        <w:rPr>
          <w:b/>
          <w:bCs/>
        </w:rPr>
        <w:t xml:space="preserve">5 p.m., Monday, May </w:t>
      </w:r>
      <w:r w:rsidR="00AF40E8">
        <w:rPr>
          <w:b/>
          <w:bCs/>
        </w:rPr>
        <w:t>1</w:t>
      </w:r>
      <w:r w:rsidRPr="30D0D02C">
        <w:rPr>
          <w:b/>
          <w:bCs/>
        </w:rPr>
        <w:t xml:space="preserve">. </w:t>
      </w:r>
      <w:r w:rsidRPr="30D0D02C">
        <w:t>Recipients will be informed via telephone and/or electronic mail.</w:t>
      </w:r>
    </w:p>
    <w:p w14:paraId="6186E378" w14:textId="77777777" w:rsidR="00EC3C25" w:rsidRPr="00A00596" w:rsidRDefault="00EC3C25" w:rsidP="3A48FBF0"/>
    <w:p w14:paraId="0ED15C9F" w14:textId="77777777" w:rsidR="00EC3C25" w:rsidRPr="00A00596" w:rsidRDefault="3A48FBF0" w:rsidP="3A48FBF0">
      <w:pPr>
        <w:ind w:left="360" w:hanging="360"/>
        <w:rPr>
          <w:b/>
          <w:bCs/>
        </w:rPr>
      </w:pPr>
      <w:r w:rsidRPr="3A48FBF0">
        <w:rPr>
          <w:b/>
          <w:bCs/>
        </w:rPr>
        <w:t>MID-INTERNSHIP REPORTS:</w:t>
      </w:r>
    </w:p>
    <w:p w14:paraId="10DAF411" w14:textId="7BE8F647" w:rsidR="00EC3C25" w:rsidRPr="00A00596" w:rsidRDefault="3A48FBF0" w:rsidP="3A48FBF0">
      <w:pPr>
        <w:ind w:left="360"/>
      </w:pPr>
      <w:r w:rsidRPr="3A48FBF0">
        <w:t xml:space="preserve">Halfway through the summer internship, we like to update the Effie &amp; Wofford Cain Foundation on how the </w:t>
      </w:r>
      <w:proofErr w:type="spellStart"/>
      <w:r w:rsidRPr="3A48FBF0">
        <w:t>Denius</w:t>
      </w:r>
      <w:proofErr w:type="spellEnd"/>
      <w:r w:rsidRPr="3A48FBF0">
        <w:t xml:space="preserve"> Grant interns are doing and how their internships are coming along. Each grant recipient and supervisor will be asked to submit a brief, informal update via email to the Program Coordinator.</w:t>
      </w:r>
    </w:p>
    <w:p w14:paraId="3AD1DB69" w14:textId="77777777" w:rsidR="00EC3C25" w:rsidRPr="00A00596" w:rsidRDefault="00EC3C25" w:rsidP="3A48FBF0"/>
    <w:p w14:paraId="1FDB1D91" w14:textId="1F4531C6" w:rsidR="00EC3C25" w:rsidRPr="00A00596" w:rsidRDefault="3A48FBF0" w:rsidP="3A48FBF0">
      <w:pPr>
        <w:ind w:left="360" w:hanging="360"/>
        <w:rPr>
          <w:b/>
          <w:bCs/>
        </w:rPr>
      </w:pPr>
      <w:r w:rsidRPr="3A48FBF0">
        <w:rPr>
          <w:b/>
          <w:bCs/>
        </w:rPr>
        <w:t>POST-INTERNSHIP REQUIREMENTS:</w:t>
      </w:r>
    </w:p>
    <w:p w14:paraId="340A1606" w14:textId="262FBB01" w:rsidR="00EC3C25" w:rsidRDefault="3A48FBF0" w:rsidP="3A48FBF0">
      <w:pPr>
        <w:pStyle w:val="ListParagraph"/>
        <w:numPr>
          <w:ilvl w:val="0"/>
          <w:numId w:val="6"/>
        </w:numPr>
      </w:pPr>
      <w:r w:rsidRPr="3A48FBF0">
        <w:t>Upon completion of the internship, you will submit (1) a brief report summarizing his/her internship experience, and (2) a summary of how the grant funding was used, including budget and actual travel, accommodation and living expenses. These reports must be completed and submitted to Communication Career Center within one month of completing the internship, so that they may be forwarded to the Effie &amp; Wofford Cain Foundation, the donors of the endowment for College of Communication students interested in pursuing careers in the music industry.</w:t>
      </w:r>
    </w:p>
    <w:p w14:paraId="5A6518C6" w14:textId="328A2D6E" w:rsidR="00F838FF" w:rsidRPr="00F838FF" w:rsidRDefault="3A48FBF0" w:rsidP="3A48FBF0">
      <w:pPr>
        <w:pStyle w:val="ListParagraph"/>
        <w:numPr>
          <w:ilvl w:val="0"/>
          <w:numId w:val="6"/>
        </w:numPr>
      </w:pPr>
      <w:r w:rsidRPr="3A48FBF0">
        <w:t xml:space="preserve">You will need to send a thank you note to Mr. Wofford </w:t>
      </w:r>
      <w:proofErr w:type="spellStart"/>
      <w:r w:rsidRPr="3A48FBF0">
        <w:t>Denius</w:t>
      </w:r>
      <w:proofErr w:type="spellEnd"/>
      <w:r w:rsidRPr="3A48FBF0">
        <w:t xml:space="preserve"> and provide Ashley Nash with a copy of said note.</w:t>
      </w:r>
    </w:p>
    <w:p w14:paraId="01FBAF90" w14:textId="77777777" w:rsidR="00EC3C25" w:rsidRPr="00A00596" w:rsidRDefault="00EC3C25" w:rsidP="3A48FBF0">
      <w:pPr>
        <w:rPr>
          <w:b/>
          <w:bCs/>
        </w:rPr>
      </w:pPr>
    </w:p>
    <w:p w14:paraId="2F8AD073" w14:textId="59D24A4A" w:rsidR="00EC3C25" w:rsidRPr="00BA6405" w:rsidRDefault="3A48FBF0" w:rsidP="3A48FBF0">
      <w:pPr>
        <w:rPr>
          <w:b/>
          <w:bCs/>
        </w:rPr>
      </w:pPr>
      <w:r w:rsidRPr="3A48FBF0">
        <w:rPr>
          <w:b/>
          <w:bCs/>
        </w:rPr>
        <w:t xml:space="preserve">Questions?  Contact Ashley Nash at </w:t>
      </w:r>
      <w:hyperlink r:id="rId9">
        <w:r w:rsidRPr="3A48FBF0">
          <w:rPr>
            <w:rStyle w:val="Hyperlink"/>
            <w:b/>
            <w:bCs/>
          </w:rPr>
          <w:t>ashley.nash@austin.utexas.edu</w:t>
        </w:r>
      </w:hyperlink>
      <w:r w:rsidRPr="3A48FBF0">
        <w:rPr>
          <w:b/>
          <w:bCs/>
        </w:rPr>
        <w:t xml:space="preserve"> </w:t>
      </w:r>
    </w:p>
    <w:sectPr w:rsidR="00EC3C25" w:rsidRPr="00BA6405" w:rsidSect="00047B9E">
      <w:headerReference w:type="default" r:id="rId10"/>
      <w:footerReference w:type="default" r:id="rId11"/>
      <w:pgSz w:w="12240" w:h="15840" w:code="1"/>
      <w:pgMar w:top="1080" w:right="72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D39B6" w14:textId="77777777" w:rsidR="001C289C" w:rsidRDefault="001C289C">
      <w:r>
        <w:separator/>
      </w:r>
    </w:p>
  </w:endnote>
  <w:endnote w:type="continuationSeparator" w:id="0">
    <w:p w14:paraId="0CCF2B33" w14:textId="77777777" w:rsidR="001C289C" w:rsidRDefault="001C2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pperplate32bc">
    <w:altName w:val="Courier New"/>
    <w:panose1 w:val="020B0604020202020204"/>
    <w:charset w:val="00"/>
    <w:family w:val="auto"/>
    <w:pitch w:val="variable"/>
    <w:sig w:usb0="03000000" w:usb1="00000000" w:usb2="00000000" w:usb3="00000000" w:csb0="00000001" w:csb1="00000000"/>
  </w:font>
  <w:font w:name="Times">
    <w:panose1 w:val="020B0604020202020204"/>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Copperplate31bc">
    <w:altName w:val="Courier New"/>
    <w:panose1 w:val="020B0604020202020204"/>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dobe Garamond Pro">
    <w:altName w:val="Garamond"/>
    <w:panose1 w:val="020B0604020202020204"/>
    <w:charset w:val="4D"/>
    <w:family w:val="roma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03E9A" w14:textId="77777777" w:rsidR="00E8381A" w:rsidRPr="007C18D7" w:rsidRDefault="00E8381A" w:rsidP="1AC20283">
    <w:pPr>
      <w:pStyle w:val="Footer"/>
      <w:pBdr>
        <w:top w:val="single" w:sz="4" w:space="1" w:color="auto"/>
      </w:pBdr>
      <w:tabs>
        <w:tab w:val="clear" w:pos="8640"/>
        <w:tab w:val="right" w:pos="10080"/>
      </w:tabs>
    </w:pPr>
    <w:r>
      <w:rPr>
        <w:rFonts w:ascii="Adobe Garamond Pro" w:hAnsi="Adobe Garamond Pro"/>
      </w:rPr>
      <w:tab/>
    </w:r>
    <w:r w:rsidRPr="1AC20283">
      <w:t xml:space="preserve">The University of Texas at Austin – Moody College of Communication </w:t>
    </w:r>
    <w:r w:rsidRPr="007C18D7">
      <w:rPr>
        <w:rFonts w:asciiTheme="minorHAnsi" w:hAnsiTheme="minorHAnsi"/>
      </w:rPr>
      <w:tab/>
    </w:r>
    <w:r w:rsidRPr="1AC20283">
      <w:t xml:space="preserve">Page | </w:t>
    </w:r>
    <w:r w:rsidRPr="1AC20283">
      <w:rPr>
        <w:noProof/>
      </w:rPr>
      <w:fldChar w:fldCharType="begin"/>
    </w:r>
    <w:r>
      <w:instrText xml:space="preserve"> PAGE   \* MERGEFORMAT </w:instrText>
    </w:r>
    <w:r w:rsidRPr="1AC20283">
      <w:fldChar w:fldCharType="separate"/>
    </w:r>
    <w:r w:rsidR="008457C0" w:rsidRPr="1AC20283">
      <w:rPr>
        <w:noProof/>
      </w:rPr>
      <w:t>1</w:t>
    </w:r>
    <w:r w:rsidRPr="1AC20283">
      <w:rPr>
        <w:noProof/>
      </w:rPr>
      <w:fldChar w:fldCharType="end"/>
    </w:r>
  </w:p>
  <w:p w14:paraId="66FE434E" w14:textId="77777777" w:rsidR="00E8381A" w:rsidRDefault="00E8381A" w:rsidP="54821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F16AC" w14:textId="77777777" w:rsidR="001C289C" w:rsidRDefault="001C289C">
      <w:r>
        <w:separator/>
      </w:r>
    </w:p>
  </w:footnote>
  <w:footnote w:type="continuationSeparator" w:id="0">
    <w:p w14:paraId="2F341BD1" w14:textId="77777777" w:rsidR="001C289C" w:rsidRDefault="001C2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0"/>
      <w:gridCol w:w="3480"/>
      <w:gridCol w:w="3480"/>
    </w:tblGrid>
    <w:tr w:rsidR="54821783" w14:paraId="2892014C" w14:textId="77777777" w:rsidTr="54821783">
      <w:tc>
        <w:tcPr>
          <w:tcW w:w="3480" w:type="dxa"/>
        </w:tcPr>
        <w:p w14:paraId="061E4FA7" w14:textId="70FEBABD" w:rsidR="54821783" w:rsidRDefault="54821783" w:rsidP="54821783">
          <w:pPr>
            <w:pStyle w:val="Header"/>
            <w:ind w:left="-115"/>
          </w:pPr>
        </w:p>
      </w:tc>
      <w:tc>
        <w:tcPr>
          <w:tcW w:w="3480" w:type="dxa"/>
        </w:tcPr>
        <w:p w14:paraId="587A6A1D" w14:textId="0337F5FC" w:rsidR="54821783" w:rsidRDefault="54821783" w:rsidP="54821783">
          <w:pPr>
            <w:pStyle w:val="Header"/>
            <w:jc w:val="center"/>
          </w:pPr>
        </w:p>
      </w:tc>
      <w:tc>
        <w:tcPr>
          <w:tcW w:w="3480" w:type="dxa"/>
        </w:tcPr>
        <w:p w14:paraId="78E676C4" w14:textId="60EF8103" w:rsidR="54821783" w:rsidRDefault="54821783" w:rsidP="54821783">
          <w:pPr>
            <w:pStyle w:val="Header"/>
            <w:ind w:right="-115"/>
            <w:jc w:val="right"/>
          </w:pPr>
        </w:p>
      </w:tc>
    </w:tr>
  </w:tbl>
  <w:p w14:paraId="2D14F685" w14:textId="509ED3E6" w:rsidR="54821783" w:rsidRDefault="54821783" w:rsidP="54821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1A"/>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F14F16"/>
    <w:multiLevelType w:val="hybridMultilevel"/>
    <w:tmpl w:val="62C0C5E8"/>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00662B"/>
    <w:multiLevelType w:val="hybridMultilevel"/>
    <w:tmpl w:val="B6D0C5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5F586C"/>
    <w:multiLevelType w:val="hybridMultilevel"/>
    <w:tmpl w:val="E5D80C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9655D1B"/>
    <w:multiLevelType w:val="hybridMultilevel"/>
    <w:tmpl w:val="3A6A6A4C"/>
    <w:lvl w:ilvl="0" w:tplc="5AF62A90">
      <w:start w:val="1"/>
      <w:numFmt w:val="bullet"/>
      <w:lvlText w:val=""/>
      <w:lvlJc w:val="left"/>
      <w:pPr>
        <w:tabs>
          <w:tab w:val="num" w:pos="1080"/>
        </w:tabs>
        <w:ind w:left="1080" w:hanging="360"/>
      </w:pPr>
      <w:rPr>
        <w:rFonts w:ascii="Symbol" w:hAnsi="Symbol" w:hint="default"/>
        <w:color w:val="auto"/>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60110DC"/>
    <w:multiLevelType w:val="hybridMultilevel"/>
    <w:tmpl w:val="12E09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A9741D"/>
    <w:multiLevelType w:val="hybridMultilevel"/>
    <w:tmpl w:val="301AB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A31A56"/>
    <w:multiLevelType w:val="hybridMultilevel"/>
    <w:tmpl w:val="2EF83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6446787">
    <w:abstractNumId w:val="1"/>
  </w:num>
  <w:num w:numId="2" w16cid:durableId="1454251202">
    <w:abstractNumId w:val="0"/>
  </w:num>
  <w:num w:numId="3" w16cid:durableId="1213232543">
    <w:abstractNumId w:val="2"/>
  </w:num>
  <w:num w:numId="4" w16cid:durableId="1370451838">
    <w:abstractNumId w:val="5"/>
  </w:num>
  <w:num w:numId="5" w16cid:durableId="55785373">
    <w:abstractNumId w:val="4"/>
  </w:num>
  <w:num w:numId="6" w16cid:durableId="651763512">
    <w:abstractNumId w:val="7"/>
  </w:num>
  <w:num w:numId="7" w16cid:durableId="1481458811">
    <w:abstractNumId w:val="6"/>
  </w:num>
  <w:num w:numId="8" w16cid:durableId="2133671849">
    <w:abstractNumId w:val="3"/>
  </w:num>
  <w:num w:numId="9" w16cid:durableId="9019905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6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B8"/>
    <w:rsid w:val="000130F5"/>
    <w:rsid w:val="00030488"/>
    <w:rsid w:val="00047B9E"/>
    <w:rsid w:val="00054505"/>
    <w:rsid w:val="00080706"/>
    <w:rsid w:val="000A0F3F"/>
    <w:rsid w:val="000A7718"/>
    <w:rsid w:val="000B10C6"/>
    <w:rsid w:val="000B42BF"/>
    <w:rsid w:val="000D38E3"/>
    <w:rsid w:val="000D5710"/>
    <w:rsid w:val="000E0E7B"/>
    <w:rsid w:val="000F324B"/>
    <w:rsid w:val="00117A17"/>
    <w:rsid w:val="0013367F"/>
    <w:rsid w:val="00155981"/>
    <w:rsid w:val="00157673"/>
    <w:rsid w:val="00167553"/>
    <w:rsid w:val="001B2A65"/>
    <w:rsid w:val="001B60C4"/>
    <w:rsid w:val="001C289C"/>
    <w:rsid w:val="001C66DF"/>
    <w:rsid w:val="001E227D"/>
    <w:rsid w:val="001E7465"/>
    <w:rsid w:val="001F2EAA"/>
    <w:rsid w:val="00205035"/>
    <w:rsid w:val="00215FD1"/>
    <w:rsid w:val="00231236"/>
    <w:rsid w:val="00231B83"/>
    <w:rsid w:val="00234E96"/>
    <w:rsid w:val="00243393"/>
    <w:rsid w:val="00246715"/>
    <w:rsid w:val="0025107B"/>
    <w:rsid w:val="0027622D"/>
    <w:rsid w:val="002C7521"/>
    <w:rsid w:val="002D1350"/>
    <w:rsid w:val="002D40C3"/>
    <w:rsid w:val="002E4139"/>
    <w:rsid w:val="002E597D"/>
    <w:rsid w:val="002E7606"/>
    <w:rsid w:val="00314617"/>
    <w:rsid w:val="003230A9"/>
    <w:rsid w:val="0032592B"/>
    <w:rsid w:val="00370264"/>
    <w:rsid w:val="00387ECE"/>
    <w:rsid w:val="00390583"/>
    <w:rsid w:val="00394BAA"/>
    <w:rsid w:val="003971BB"/>
    <w:rsid w:val="003B0CA0"/>
    <w:rsid w:val="003C01EC"/>
    <w:rsid w:val="003F3356"/>
    <w:rsid w:val="004009B1"/>
    <w:rsid w:val="00405132"/>
    <w:rsid w:val="00414BA8"/>
    <w:rsid w:val="00447933"/>
    <w:rsid w:val="004525B3"/>
    <w:rsid w:val="00487FD4"/>
    <w:rsid w:val="004A384A"/>
    <w:rsid w:val="004A5EB6"/>
    <w:rsid w:val="004B4687"/>
    <w:rsid w:val="005007B8"/>
    <w:rsid w:val="00503BC3"/>
    <w:rsid w:val="005116B4"/>
    <w:rsid w:val="00546CFC"/>
    <w:rsid w:val="00551260"/>
    <w:rsid w:val="00564B58"/>
    <w:rsid w:val="00575832"/>
    <w:rsid w:val="00581C4E"/>
    <w:rsid w:val="00596A20"/>
    <w:rsid w:val="005A04C3"/>
    <w:rsid w:val="005A5CD9"/>
    <w:rsid w:val="005D03E8"/>
    <w:rsid w:val="005E5D8C"/>
    <w:rsid w:val="005F30AF"/>
    <w:rsid w:val="005F3A9E"/>
    <w:rsid w:val="006264C3"/>
    <w:rsid w:val="00626D28"/>
    <w:rsid w:val="00630856"/>
    <w:rsid w:val="00645002"/>
    <w:rsid w:val="00682127"/>
    <w:rsid w:val="006861E8"/>
    <w:rsid w:val="00686985"/>
    <w:rsid w:val="006B27C0"/>
    <w:rsid w:val="006C4DFA"/>
    <w:rsid w:val="006D48CB"/>
    <w:rsid w:val="006F1F2B"/>
    <w:rsid w:val="006F5743"/>
    <w:rsid w:val="00714F4C"/>
    <w:rsid w:val="007154F0"/>
    <w:rsid w:val="0071737C"/>
    <w:rsid w:val="007466CE"/>
    <w:rsid w:val="007577A0"/>
    <w:rsid w:val="00770D69"/>
    <w:rsid w:val="007A1C3C"/>
    <w:rsid w:val="007B24C6"/>
    <w:rsid w:val="007C18D7"/>
    <w:rsid w:val="007C5EED"/>
    <w:rsid w:val="007C768F"/>
    <w:rsid w:val="007F00E6"/>
    <w:rsid w:val="007F4FC3"/>
    <w:rsid w:val="00816251"/>
    <w:rsid w:val="0081643C"/>
    <w:rsid w:val="00817DD5"/>
    <w:rsid w:val="00844341"/>
    <w:rsid w:val="008457C0"/>
    <w:rsid w:val="00854952"/>
    <w:rsid w:val="008573FE"/>
    <w:rsid w:val="00872874"/>
    <w:rsid w:val="0087362B"/>
    <w:rsid w:val="0089321F"/>
    <w:rsid w:val="00895D5A"/>
    <w:rsid w:val="00896A2B"/>
    <w:rsid w:val="008B3243"/>
    <w:rsid w:val="008C41B5"/>
    <w:rsid w:val="008C5306"/>
    <w:rsid w:val="008F1E97"/>
    <w:rsid w:val="008F52A0"/>
    <w:rsid w:val="009336E0"/>
    <w:rsid w:val="00954DBB"/>
    <w:rsid w:val="009601B8"/>
    <w:rsid w:val="00960E94"/>
    <w:rsid w:val="009B226B"/>
    <w:rsid w:val="009D7900"/>
    <w:rsid w:val="009E2480"/>
    <w:rsid w:val="009F2EE8"/>
    <w:rsid w:val="00A00596"/>
    <w:rsid w:val="00A01BA1"/>
    <w:rsid w:val="00A04062"/>
    <w:rsid w:val="00A0655F"/>
    <w:rsid w:val="00A16865"/>
    <w:rsid w:val="00A17FA8"/>
    <w:rsid w:val="00A30FE9"/>
    <w:rsid w:val="00A54A6E"/>
    <w:rsid w:val="00A54E18"/>
    <w:rsid w:val="00A56800"/>
    <w:rsid w:val="00A61C26"/>
    <w:rsid w:val="00A82321"/>
    <w:rsid w:val="00A85CEE"/>
    <w:rsid w:val="00A946C5"/>
    <w:rsid w:val="00AA0D05"/>
    <w:rsid w:val="00AC1CD8"/>
    <w:rsid w:val="00AC3974"/>
    <w:rsid w:val="00AC56C2"/>
    <w:rsid w:val="00AD2B07"/>
    <w:rsid w:val="00AD4235"/>
    <w:rsid w:val="00AE089C"/>
    <w:rsid w:val="00AE6631"/>
    <w:rsid w:val="00AE7B19"/>
    <w:rsid w:val="00AF2872"/>
    <w:rsid w:val="00AF40E8"/>
    <w:rsid w:val="00AF54A9"/>
    <w:rsid w:val="00B02212"/>
    <w:rsid w:val="00B213B1"/>
    <w:rsid w:val="00B21C01"/>
    <w:rsid w:val="00B52152"/>
    <w:rsid w:val="00B67A57"/>
    <w:rsid w:val="00B969F9"/>
    <w:rsid w:val="00BA6405"/>
    <w:rsid w:val="00BC7780"/>
    <w:rsid w:val="00BE1259"/>
    <w:rsid w:val="00BF0A89"/>
    <w:rsid w:val="00C05F0E"/>
    <w:rsid w:val="00C23B6C"/>
    <w:rsid w:val="00C279F1"/>
    <w:rsid w:val="00C47CFE"/>
    <w:rsid w:val="00C63237"/>
    <w:rsid w:val="00C76F67"/>
    <w:rsid w:val="00C87A73"/>
    <w:rsid w:val="00C9151B"/>
    <w:rsid w:val="00C924E8"/>
    <w:rsid w:val="00C967D5"/>
    <w:rsid w:val="00CA12D6"/>
    <w:rsid w:val="00CD0D64"/>
    <w:rsid w:val="00D661AF"/>
    <w:rsid w:val="00D677AD"/>
    <w:rsid w:val="00D81C43"/>
    <w:rsid w:val="00D928EE"/>
    <w:rsid w:val="00D9743E"/>
    <w:rsid w:val="00DB04DB"/>
    <w:rsid w:val="00DC306F"/>
    <w:rsid w:val="00DE3AD7"/>
    <w:rsid w:val="00E024B1"/>
    <w:rsid w:val="00E17121"/>
    <w:rsid w:val="00E37200"/>
    <w:rsid w:val="00E600E9"/>
    <w:rsid w:val="00E8381A"/>
    <w:rsid w:val="00E933B4"/>
    <w:rsid w:val="00E948E9"/>
    <w:rsid w:val="00E9555C"/>
    <w:rsid w:val="00EA082B"/>
    <w:rsid w:val="00EC3861"/>
    <w:rsid w:val="00EC3C25"/>
    <w:rsid w:val="00ED3978"/>
    <w:rsid w:val="00F004AC"/>
    <w:rsid w:val="00F61C85"/>
    <w:rsid w:val="00F80522"/>
    <w:rsid w:val="00F838FF"/>
    <w:rsid w:val="00F90683"/>
    <w:rsid w:val="00F91996"/>
    <w:rsid w:val="00F92482"/>
    <w:rsid w:val="00F94847"/>
    <w:rsid w:val="00FC2620"/>
    <w:rsid w:val="00FD353B"/>
    <w:rsid w:val="00FE0468"/>
    <w:rsid w:val="00FF78DE"/>
    <w:rsid w:val="0CB7CEC8"/>
    <w:rsid w:val="1AC20283"/>
    <w:rsid w:val="30D0D02C"/>
    <w:rsid w:val="3A48FBF0"/>
    <w:rsid w:val="4452EA47"/>
    <w:rsid w:val="548217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C6650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030488"/>
    <w:rPr>
      <w:sz w:val="24"/>
      <w:szCs w:val="24"/>
    </w:rPr>
  </w:style>
  <w:style w:type="paragraph" w:styleId="Heading1">
    <w:name w:val="heading 1"/>
    <w:basedOn w:val="Normal"/>
    <w:next w:val="Normal"/>
    <w:qFormat/>
    <w:rsid w:val="00AD4235"/>
    <w:pPr>
      <w:keepNext/>
      <w:pBdr>
        <w:bottom w:val="single" w:sz="2" w:space="1" w:color="auto"/>
      </w:pBdr>
      <w:outlineLvl w:val="0"/>
    </w:pPr>
    <w:rPr>
      <w:rFonts w:ascii="Copperplate32bc" w:eastAsia="Times" w:hAnsi="Copperplate32bc"/>
      <w:b/>
      <w:sz w:val="28"/>
      <w:szCs w:val="20"/>
    </w:rPr>
  </w:style>
  <w:style w:type="paragraph" w:styleId="Heading2">
    <w:name w:val="heading 2"/>
    <w:basedOn w:val="Normal"/>
    <w:next w:val="Normal"/>
    <w:qFormat/>
    <w:rsid w:val="008C5306"/>
    <w:pPr>
      <w:keepNext/>
      <w:ind w:left="1080" w:right="1080"/>
      <w:outlineLvl w:val="1"/>
    </w:pPr>
    <w:rPr>
      <w:rFonts w:ascii="Arial" w:hAnsi="Arial"/>
      <w:b/>
      <w:sz w:val="22"/>
      <w:szCs w:val="20"/>
    </w:rPr>
  </w:style>
  <w:style w:type="paragraph" w:styleId="Heading3">
    <w:name w:val="heading 3"/>
    <w:basedOn w:val="Normal"/>
    <w:next w:val="Normal"/>
    <w:qFormat/>
    <w:rsid w:val="00AD4235"/>
    <w:pPr>
      <w:keepNext/>
      <w:pBdr>
        <w:bottom w:val="single" w:sz="4" w:space="1" w:color="auto"/>
      </w:pBdr>
      <w:outlineLvl w:val="2"/>
    </w:pPr>
    <w:rPr>
      <w:rFonts w:ascii="Copperplate31bc" w:eastAsia="Times" w:hAnsi="Copperplate31bc"/>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6C2"/>
    <w:pPr>
      <w:tabs>
        <w:tab w:val="center" w:pos="4320"/>
        <w:tab w:val="right" w:pos="8640"/>
      </w:tabs>
    </w:pPr>
  </w:style>
  <w:style w:type="paragraph" w:styleId="Footer">
    <w:name w:val="footer"/>
    <w:basedOn w:val="Normal"/>
    <w:link w:val="FooterChar"/>
    <w:uiPriority w:val="99"/>
    <w:rsid w:val="00AC56C2"/>
    <w:pPr>
      <w:tabs>
        <w:tab w:val="center" w:pos="4320"/>
        <w:tab w:val="right" w:pos="8640"/>
      </w:tabs>
    </w:pPr>
  </w:style>
  <w:style w:type="table" w:styleId="TableGrid">
    <w:name w:val="Table Grid"/>
    <w:basedOn w:val="TableNormal"/>
    <w:rsid w:val="001B6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8C5306"/>
    <w:pPr>
      <w:ind w:left="1080" w:right="1080"/>
      <w:jc w:val="center"/>
    </w:pPr>
    <w:rPr>
      <w:rFonts w:ascii="Arial" w:hAnsi="Arial"/>
      <w:b/>
      <w:sz w:val="28"/>
      <w:szCs w:val="20"/>
    </w:rPr>
  </w:style>
  <w:style w:type="paragraph" w:styleId="BodyTextIndent">
    <w:name w:val="Body Text Indent"/>
    <w:basedOn w:val="Normal"/>
    <w:rsid w:val="008C5306"/>
    <w:pPr>
      <w:ind w:left="1080"/>
    </w:pPr>
    <w:rPr>
      <w:rFonts w:ascii="Arial" w:hAnsi="Arial"/>
      <w:sz w:val="20"/>
      <w:szCs w:val="20"/>
    </w:rPr>
  </w:style>
  <w:style w:type="character" w:styleId="Hyperlink">
    <w:name w:val="Hyperlink"/>
    <w:basedOn w:val="DefaultParagraphFont"/>
    <w:rsid w:val="008C5306"/>
    <w:rPr>
      <w:color w:val="0000FF"/>
      <w:u w:val="single"/>
    </w:rPr>
  </w:style>
  <w:style w:type="paragraph" w:styleId="ListParagraph">
    <w:name w:val="List Paragraph"/>
    <w:basedOn w:val="Normal"/>
    <w:uiPriority w:val="34"/>
    <w:qFormat/>
    <w:rsid w:val="005A5CD9"/>
    <w:pPr>
      <w:ind w:left="720"/>
    </w:pPr>
  </w:style>
  <w:style w:type="character" w:customStyle="1" w:styleId="FooterChar">
    <w:name w:val="Footer Char"/>
    <w:basedOn w:val="DefaultParagraphFont"/>
    <w:link w:val="Footer"/>
    <w:uiPriority w:val="99"/>
    <w:rsid w:val="00854952"/>
    <w:rPr>
      <w:sz w:val="24"/>
      <w:szCs w:val="24"/>
    </w:rPr>
  </w:style>
  <w:style w:type="paragraph" w:styleId="BalloonText">
    <w:name w:val="Balloon Text"/>
    <w:basedOn w:val="Normal"/>
    <w:link w:val="BalloonTextChar"/>
    <w:rsid w:val="00C279F1"/>
    <w:rPr>
      <w:rFonts w:ascii="Tahoma" w:hAnsi="Tahoma" w:cs="Tahoma"/>
      <w:sz w:val="16"/>
      <w:szCs w:val="16"/>
    </w:rPr>
  </w:style>
  <w:style w:type="character" w:customStyle="1" w:styleId="BalloonTextChar">
    <w:name w:val="Balloon Text Char"/>
    <w:basedOn w:val="DefaultParagraphFont"/>
    <w:link w:val="BalloonText"/>
    <w:rsid w:val="00C279F1"/>
    <w:rPr>
      <w:rFonts w:ascii="Tahoma" w:hAnsi="Tahoma" w:cs="Tahoma"/>
      <w:sz w:val="16"/>
      <w:szCs w:val="16"/>
    </w:rPr>
  </w:style>
  <w:style w:type="character" w:styleId="FollowedHyperlink">
    <w:name w:val="FollowedHyperlink"/>
    <w:basedOn w:val="DefaultParagraphFont"/>
    <w:rsid w:val="00E024B1"/>
    <w:rPr>
      <w:color w:val="800080" w:themeColor="followedHyperlink"/>
      <w:u w:val="single"/>
    </w:rPr>
  </w:style>
  <w:style w:type="character" w:styleId="UnresolvedMention">
    <w:name w:val="Unresolved Mention"/>
    <w:basedOn w:val="DefaultParagraphFont"/>
    <w:rsid w:val="008B3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725241">
      <w:bodyDiv w:val="1"/>
      <w:marLeft w:val="0"/>
      <w:marRight w:val="0"/>
      <w:marTop w:val="0"/>
      <w:marBottom w:val="0"/>
      <w:divBdr>
        <w:top w:val="none" w:sz="0" w:space="0" w:color="auto"/>
        <w:left w:val="none" w:sz="0" w:space="0" w:color="auto"/>
        <w:bottom w:val="none" w:sz="0" w:space="0" w:color="auto"/>
        <w:right w:val="none" w:sz="0" w:space="0" w:color="auto"/>
      </w:divBdr>
    </w:div>
    <w:div w:id="71797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y.utexas.edu/career-services/denius-music-industry-internship-progr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shley.nash@austin.utexa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Text Text Text Text Text Text Text Text Text Text Text Text Text Text Text Text Text Text Text Text Text Text Text Text Text T</vt:lpstr>
    </vt:vector>
  </TitlesOfParts>
  <Company>STMicroelectronics</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Text Text Text Text Text Text Text Text Text Text Text Text Text Text Text Text Text Text Text Text Text Text Text Text T</dc:title>
  <dc:creator>Kubena, Debbie</dc:creator>
  <cp:lastModifiedBy>Nash, Ashley L</cp:lastModifiedBy>
  <cp:revision>2</cp:revision>
  <cp:lastPrinted>2013-07-30T19:56:00Z</cp:lastPrinted>
  <dcterms:created xsi:type="dcterms:W3CDTF">2023-02-07T15:43:00Z</dcterms:created>
  <dcterms:modified xsi:type="dcterms:W3CDTF">2023-02-07T15:43:00Z</dcterms:modified>
</cp:coreProperties>
</file>